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3C2C0" w:sz="4" w:space="3"/>
          <w:right w:val="none" w:color="auto" w:sz="0" w:space="0"/>
        </w:pBdr>
        <w:spacing w:before="0" w:beforeAutospacing="0" w:after="60" w:afterAutospacing="0"/>
        <w:ind w:left="0" w:right="0"/>
        <w:rPr>
          <w:b/>
          <w:color w:val="000000"/>
          <w:sz w:val="21"/>
          <w:szCs w:val="21"/>
        </w:rPr>
      </w:pPr>
      <w:r>
        <w:rPr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关于依法办理“碰瓷”违法犯罪案件的指导意见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【颁布时间】2020-9-22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【标题】关于依法办理“碰瓷”违法犯罪案件的指导意见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【发文号】公通字〔2020〕12号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【失效时间】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【颁布单位】最高人民法院 最高人民检察院 公安部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hanging="36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【法规来源】人民法院新闻传媒总社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16"/>
          <w:szCs w:val="16"/>
          <w:bdr w:val="none" w:color="auto" w:sz="0" w:space="0"/>
          <w:shd w:val="clear" w:fill="FFFFFF"/>
        </w:rPr>
        <w:t>【法规全文】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36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0" w:right="0"/>
        <w:jc w:val="center"/>
        <w:rPr>
          <w:b/>
          <w:sz w:val="24"/>
          <w:szCs w:val="24"/>
        </w:rPr>
      </w:pPr>
      <w:bookmarkStart w:id="0" w:name="_GoBack"/>
      <w:r>
        <w:rPr>
          <w:b/>
          <w:i w:val="0"/>
          <w:caps w:val="0"/>
          <w:color w:val="1A2930"/>
          <w:spacing w:val="0"/>
          <w:sz w:val="24"/>
          <w:szCs w:val="24"/>
          <w:bdr w:val="none" w:color="auto" w:sz="0" w:space="0"/>
          <w:shd w:val="clear" w:fill="FFFFFF"/>
        </w:rPr>
        <w:t>关于依法办理“碰瓷”违法犯罪案件的指导意见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36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"http://www.law-lib.com/law/lawml.asp?bbdw=%D7%EE%B8%DF%C8%CB%C3%F1%B7%A8%D4%BA %D7%EE%B8%DF%C8%CB%C3%F1%BC%EC%B2%EC%D4%BA %B9%AB%B0%B2%B2%BF"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  <w:u w:val="none"/>
          <w:bdr w:val="none" w:color="auto" w:sz="0" w:space="0"/>
          <w:shd w:val="clear" w:fill="FFFFFF"/>
        </w:rPr>
        <w:t>最高人民法院 最高人民检察院 公安部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3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关于依法办理“碰瓷”违法犯罪案件的指导意见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（公通字〔2020〕12号）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各省、自治区、直辖市高级人民法院、人民检察院、公安厅（局），新疆维吾尔自治区高级人民法院生产建设兵团分院，新疆生产建设兵团人民检察院、公安局：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近年来，“碰瓷”现象时有发生。所谓“碰瓷”，是指行为人通过故意制造或者编造其被害假象，采取诈骗、敲诈勒索等方式非法索取财物的行为。实践中，一些不法分子有的通过“设局”制造或者捏造他人对其人身、财产造成损害来实施；有的通过自伤、造成同伙受伤或者利用自身原有损伤，诬告系被害人所致来实施；有的故意制造交通事故，利用被害人违反道路通行规定或者酒后驾驶、无证驾驶、机动车手续不全等违法违规行为，通过被害人害怕被查处的心理来实施；有的在“碰瓷”行为被识破后，直接对被害人实施抢劫、抢夺、故意伤害等违法犯罪活动等。此类违法犯罪行为性质恶劣，危害后果严重，败坏社会风气，且易滋生黑恶势力，人民群众反响强烈。为依法惩治“碰瓷”违法犯罪活动，保障人民群众合法权益，维护社会秩序，根据刑法、刑事诉讼法、治安管理处罚法等法律的规定，制定本意见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一、实施“碰瓷”，虚构事实、隐瞒真相，骗取赔偿，符合刑法第二百六十六条规定的，以诈骗罪定罪处罚；骗取保险金，符合刑法第一百九十八条规定的，以保险诈骗罪定罪处罚。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实施“碰瓷”，捏造人身、财产权益受到侵害的事实，虚构民事纠纷，提起民事诉讼，符合刑法第三百零七条之一规定的，以虚假诉讼罪定罪处罚；同时构成其他犯罪的，依照处罚较重的规定定罪从重处罚。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二、实施“碰瓷”，具有下列行为之一，敲诈勒索他人财物，符合刑法第二百七十四条规定的，以敲诈勒索罪定罪处罚：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1.实施撕扯、推搡等轻微暴力或者围困、阻拦、跟踪、贴靠、滋扰、纠缠、哄闹、聚众造势、扣留财物等软暴力行为的；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2.故意制造交通事故，进而利用被害人违反道路通行规定或者其他违法违规行为相要挟的；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3.以揭露现场掌握的当事人隐私相要挟的；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4.扬言对被害人及其近亲属人身、财产实施侵害的。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三、实施“碰瓷”，当场使用暴力、胁迫或者其他方法，当场劫取他人财物，符合刑法第二百六十三条规定的，以抢劫罪定罪处罚。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四、实施“碰瓷”，采取转移注意力、趁人不备等方式，窃取、夺取他人财物，符合刑法第二百六十四条、第二百六十七条规定的，分别以盗窃罪、抢夺罪定罪处罚。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五、实施“碰瓷”，故意造成他人财物毁坏，符合刑法第二百七十五条规定的，以故意毁坏财物罪定罪处罚。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六、实施“碰瓷”，驾驶机动车对其他机动车进行追逐、冲撞、挤别、拦截或者突然加减速、急刹车等可能影响交通安全的行为，因而发生重大事故，致人重伤、死亡或者使公私财物遭受重大损失，符合刑法第一百三十三条规定的，以交通肇事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七、为实施“碰瓷”而故意杀害、伤害他人或者过失致人重伤、死亡，符合刑法第二百三十二条、第二百三十四条、第二百三十三条、第二百三十五条规定的，分别以故意杀人罪、故意伤害罪、过失致人死亡罪、过失致人重伤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八、实施“碰瓷”，为索取财物，采取非法拘禁等方法非法剥夺他人人身自由或者非法搜查他人身体，符合刑法第二百三十八条、第二百四十五条规定的，分别以非法拘禁罪、非法搜查罪定罪处罚。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九、共同故意实施“碰瓷”犯罪，起主要作用的，应当认定为主犯，对其参与或者组织、指挥的全部犯罪承担刑事责任；起次要或者辅助作用的，应当认定为从犯，依法予以从轻、减轻处罚或者免除处罚。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三人以上为共同故意实施“碰瓷”犯罪而组成的较为固定的犯罪组织，应当认定为犯罪集团。对首要分子应当按照集团所犯全部罪行处罚。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符合黑恶势力认定标准的，应当按照黑社会性质组织、恶势力或者恶势力犯罪集团侦查、起诉、审判。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十、对实施“碰瓷”，尚不构成犯罪，但构成违反治安管理行为的，依法给予治安管理处罚。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各级人民法院、人民检察院和公安机关要严格依法办案，加强协作配合，对“碰瓷”违法犯罪行为予以快速处理、准确定性、依法严惩。一要依法及时开展调查处置、批捕、起诉、审判工作。公安机关接到报案、控告、举报后应当立即赶到现场，及时制止违法犯罪，妥善保护案发现场，控制行为人。对于符合立案条件的及时开展立案侦查，全面收集证据，调取案发现场监控视频，收集在场证人证言，核查涉案人员、车辆信息等，并及时串并案进行侦查。人民检察院对于公安机关提请批准逮捕、移送审查起诉的“碰瓷”案件，符合逮捕、起诉条件的，应当依法尽快予以批捕、起诉。对于“碰瓷”案件，人民法院应当依法及时审判，构成犯罪的，严格依法追究犯罪分子刑事责任。二要加强协作配合。公安机关、人民检察院要加强沟通协调，解决案件定性、管辖、证据标准等问题，确保案件顺利办理。对于疑难复杂案件，公安机关可以听取人民检察院意见。对于确需补充侦查的，人民检察院要制作明确、详细的补充侦查提纲，公安机关应当及时补充证据。人民法院要加强审判力量，严格依法公正审判。三要严格贯彻宽严相济的刑事政策，落实认罪认罚从宽制度。要综合考虑主观恶性大小、行为的手段、方式、危害后果以及在案件中所起作用等因素，切实做到区别对待。对于“碰瓷”犯罪集团的首要分子、积极参加的犯罪分子以及屡教不改的犯罪分子，应当作为打击重点依法予以严惩。对犯罪性质和危害后果特别严重、社会影响特别恶劣的犯罪分子，虽具有酌定从宽情节但不足以从宽处罚的，依法不予从宽处罚。具有自首、立功、坦白、认罪认罚等情节的，依法从宽处理。同时，应当准确把握法律尺度，注意区分“碰瓷”违法犯罪同普通民事纠纷、行政违法的界限，既防止出现“降格处理”，也要防止打击面过大等问题。四要强化宣传教育。人民法院、人民检察院、公安机关在依法惩处此类犯罪的过程中，要加大法制宣传教育力度，在依法办案的同时，视情通过新闻媒体、微信公众号、微博等形式，向社会公众揭露“碰瓷”违法犯罪的手段和方式，引导人民群众加强自我保护意识，遇到此类情形，应当及时报警，依法维护自身合法权益。要适时公开曝光一批典型案例，通过对案件解读，有效震慑违法犯罪分子，在全社会营造良好法治环境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各地各相关部门要认真贯彻执行。执行中遇有问题，请及时上报各自上级机关。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最高人民法院 最高人民检察院 公安部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A293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2020年9月22日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1866"/>
    <w:multiLevelType w:val="multilevel"/>
    <w:tmpl w:val="0402186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B5FBE"/>
    <w:rsid w:val="0D2B5FBE"/>
    <w:rsid w:val="12492631"/>
    <w:rsid w:val="4CA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2020-11-10T02:17:00Z</dcterms:created>
  <dc:creator>FYC</dc:creator>
  <cp:lastModifiedBy>FYC</cp:lastModifiedBy>
  <dcterms:modified xsi:type="dcterms:W3CDTF">2020-11-10T02:20:38Z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