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96597"/>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雅安市名山区检察院部门决算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r>
        <w:rPr>
          <w:rFonts w:hint="eastAsia"/>
        </w:rPr>
        <w:t xml:space="preserve">  </w:t>
      </w:r>
      <w:r>
        <w:rPr>
          <w:rStyle w:val="15"/>
          <w:rFonts w:hint="eastAsia" w:ascii="仿宋" w:hAnsi="仿宋" w:eastAsia="仿宋"/>
          <w:sz w:val="28"/>
          <w:szCs w:val="28"/>
          <w:u w:val="none"/>
        </w:rPr>
        <w:t xml:space="preserve"> </w:t>
      </w:r>
      <w:r>
        <w:rPr>
          <w:rStyle w:val="15"/>
          <w:rFonts w:hint="eastAsia" w:ascii="仿宋" w:hAnsi="仿宋" w:eastAsia="仿宋"/>
          <w:color w:val="auto"/>
          <w:sz w:val="28"/>
          <w:szCs w:val="28"/>
          <w:u w:val="none"/>
        </w:rPr>
        <w:t xml:space="preserve"> 十、预算绩效情况说明</w:t>
      </w:r>
      <w:r>
        <w:rPr>
          <w:rStyle w:val="15"/>
          <w:rFonts w:ascii="仿宋" w:hAnsi="仿宋" w:eastAsia="仿宋"/>
          <w:color w:val="auto"/>
          <w:sz w:val="28"/>
          <w:szCs w:val="28"/>
          <w:u w:val="none"/>
        </w:rPr>
        <w:tab/>
      </w:r>
      <w:r>
        <w:rPr>
          <w:rStyle w:val="15"/>
          <w:rFonts w:ascii="仿宋" w:hAnsi="仿宋" w:eastAsia="仿宋"/>
          <w:color w:val="auto"/>
          <w:sz w:val="28"/>
          <w:szCs w:val="28"/>
          <w:u w:val="none"/>
        </w:rPr>
        <w:t>…………………………………………</w:t>
      </w:r>
      <w:r>
        <w:rPr>
          <w:rStyle w:val="15"/>
          <w:rFonts w:hint="eastAsia" w:ascii="仿宋" w:hAnsi="仿宋" w:eastAsia="仿宋"/>
          <w:color w:val="auto"/>
          <w:sz w:val="28"/>
          <w:szCs w:val="28"/>
          <w:u w:val="none"/>
        </w:rPr>
        <w:t xml:space="preserve">.13 </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rPr>
        <w:t>5</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w:t>
      </w:r>
      <w:r>
        <w:rPr>
          <w:rFonts w:hint="eastAsia"/>
        </w:rP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w:t>
      </w:r>
      <w:r>
        <w:rPr>
          <w:rFonts w:hint="eastAsia"/>
        </w:rPr>
        <w:t>1</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楷体_GB2312" w:hAnsi="仿宋" w:eastAsia="楷体_GB2312"/>
          <w:bCs/>
          <w:color w:val="FF0000"/>
          <w:sz w:val="32"/>
          <w:szCs w:val="32"/>
        </w:rPr>
      </w:pPr>
      <w:bookmarkStart w:id="16" w:name="_Toc15378445"/>
      <w:bookmarkStart w:id="17" w:name="_Toc15377198"/>
      <w:r>
        <w:rPr>
          <w:rFonts w:hint="eastAsia" w:ascii="楷体_GB2312" w:hAnsi="仿宋" w:eastAsia="楷体_GB2312"/>
          <w:bCs/>
          <w:color w:val="FF0000"/>
          <w:sz w:val="32"/>
          <w:szCs w:val="32"/>
        </w:rPr>
        <w:t>（一）主要职能。</w:t>
      </w:r>
      <w:bookmarkEnd w:id="16"/>
      <w:bookmarkEnd w:id="17"/>
    </w:p>
    <w:p>
      <w:pPr>
        <w:widowControl/>
        <w:spacing w:line="560" w:lineRule="exact"/>
        <w:ind w:firstLine="800" w:firstLineChars="25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名山区检察院主要职能是：</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1、对雅安市名山区人民代表大会及其常务委员会负责并报告工作，接受雅安市名山区人民代表大会及其常务委员会的监督，接受上级检察院的领导。</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2、贯彻检察工作方针，部署检察工作任务。</w:t>
      </w:r>
    </w:p>
    <w:p>
      <w:pPr>
        <w:spacing w:line="560" w:lineRule="exact"/>
        <w:ind w:firstLine="640" w:firstLineChars="200"/>
        <w:rPr>
          <w:rFonts w:ascii="仿宋_GB2312" w:hAnsi="MS Gothic" w:eastAsia="仿宋_GB2312"/>
          <w:color w:val="FF0000"/>
          <w:sz w:val="32"/>
          <w:szCs w:val="32"/>
        </w:rPr>
      </w:pPr>
      <w:r>
        <w:rPr>
          <w:rFonts w:hint="eastAsia" w:ascii="仿宋_GB2312" w:eastAsia="仿宋_GB2312" w:cs="仿宋_GB2312"/>
          <w:color w:val="FF0000"/>
          <w:sz w:val="32"/>
          <w:szCs w:val="32"/>
        </w:rPr>
        <w:t>3、负责对</w:t>
      </w:r>
      <w:r>
        <w:rPr>
          <w:rFonts w:hint="eastAsia" w:ascii="仿宋_GB2312" w:hAnsi="MS Gothic" w:eastAsia="仿宋_GB2312" w:cs="仿宋_GB2312"/>
          <w:color w:val="FF0000"/>
          <w:sz w:val="32"/>
          <w:szCs w:val="32"/>
        </w:rPr>
        <w:t>法律</w:t>
      </w:r>
      <w:r>
        <w:rPr>
          <w:rFonts w:hint="eastAsia" w:ascii="仿宋_GB2312" w:eastAsia="仿宋_GB2312" w:cs="仿宋_GB2312"/>
          <w:color w:val="FF0000"/>
          <w:sz w:val="32"/>
          <w:szCs w:val="32"/>
        </w:rPr>
        <w:t>规</w:t>
      </w:r>
      <w:r>
        <w:rPr>
          <w:rFonts w:hint="eastAsia" w:ascii="仿宋_GB2312" w:hAnsi="MS Gothic" w:eastAsia="仿宋_GB2312" w:cs="仿宋_GB2312"/>
          <w:color w:val="FF0000"/>
          <w:sz w:val="32"/>
          <w:szCs w:val="32"/>
        </w:rPr>
        <w:t>定由本院</w:t>
      </w:r>
      <w:r>
        <w:rPr>
          <w:rFonts w:hint="eastAsia" w:ascii="仿宋_GB2312" w:eastAsia="仿宋_GB2312" w:cs="仿宋_GB2312"/>
          <w:color w:val="FF0000"/>
          <w:sz w:val="32"/>
          <w:szCs w:val="32"/>
        </w:rPr>
        <w:t>办</w:t>
      </w:r>
      <w:r>
        <w:rPr>
          <w:rFonts w:hint="eastAsia" w:ascii="仿宋_GB2312" w:hAnsi="MS Gothic" w:eastAsia="仿宋_GB2312" w:cs="仿宋_GB2312"/>
          <w:color w:val="FF0000"/>
          <w:sz w:val="32"/>
          <w:szCs w:val="32"/>
        </w:rPr>
        <w:t>理的刑事案件依法</w:t>
      </w:r>
      <w:r>
        <w:rPr>
          <w:rFonts w:hint="eastAsia" w:ascii="仿宋_GB2312" w:eastAsia="仿宋_GB2312" w:cs="仿宋_GB2312"/>
          <w:color w:val="FF0000"/>
          <w:sz w:val="32"/>
          <w:szCs w:val="32"/>
        </w:rPr>
        <w:t>审查</w:t>
      </w:r>
      <w:r>
        <w:rPr>
          <w:rFonts w:hint="eastAsia" w:ascii="仿宋_GB2312" w:hAnsi="MS Gothic" w:eastAsia="仿宋_GB2312" w:cs="仿宋_GB2312"/>
          <w:color w:val="FF0000"/>
          <w:sz w:val="32"/>
          <w:szCs w:val="32"/>
        </w:rPr>
        <w:t>批捕、</w:t>
      </w:r>
      <w:r>
        <w:rPr>
          <w:rFonts w:hint="eastAsia" w:ascii="仿宋_GB2312" w:eastAsia="仿宋_GB2312" w:cs="仿宋_GB2312"/>
          <w:color w:val="FF0000"/>
          <w:sz w:val="32"/>
          <w:szCs w:val="32"/>
        </w:rPr>
        <w:t>审查</w:t>
      </w:r>
      <w:r>
        <w:rPr>
          <w:rFonts w:hint="eastAsia" w:ascii="仿宋_GB2312" w:hAnsi="MS Gothic" w:eastAsia="仿宋_GB2312" w:cs="仿宋_GB2312"/>
          <w:color w:val="FF0000"/>
          <w:sz w:val="32"/>
          <w:szCs w:val="32"/>
        </w:rPr>
        <w:t>起</w:t>
      </w:r>
      <w:r>
        <w:rPr>
          <w:rFonts w:hint="eastAsia" w:ascii="仿宋_GB2312" w:eastAsia="仿宋_GB2312" w:cs="仿宋_GB2312"/>
          <w:color w:val="FF0000"/>
          <w:sz w:val="32"/>
          <w:szCs w:val="32"/>
        </w:rPr>
        <w:t>诉</w:t>
      </w:r>
      <w:r>
        <w:rPr>
          <w:rFonts w:hint="eastAsia" w:ascii="仿宋_GB2312" w:hAnsi="MS Gothic" w:eastAsia="仿宋_GB2312" w:cs="仿宋_GB2312"/>
          <w:color w:val="FF0000"/>
          <w:sz w:val="32"/>
          <w:szCs w:val="32"/>
        </w:rPr>
        <w:t>、出庭支持公</w:t>
      </w:r>
      <w:r>
        <w:rPr>
          <w:rFonts w:hint="eastAsia" w:ascii="仿宋_GB2312" w:eastAsia="仿宋_GB2312" w:cs="仿宋_GB2312"/>
          <w:color w:val="FF0000"/>
          <w:sz w:val="32"/>
          <w:szCs w:val="32"/>
        </w:rPr>
        <w:t>诉</w:t>
      </w:r>
      <w:r>
        <w:rPr>
          <w:rFonts w:hint="eastAsia" w:ascii="仿宋_GB2312" w:hAnsi="MS Gothic" w:eastAsia="仿宋_GB2312" w:cs="仿宋_GB2312"/>
          <w:color w:val="FF0000"/>
          <w:sz w:val="32"/>
          <w:szCs w:val="32"/>
        </w:rPr>
        <w:t>。开展未成年人司法保护和预防未成年人犯罪工作。</w:t>
      </w:r>
    </w:p>
    <w:p>
      <w:pPr>
        <w:spacing w:line="560" w:lineRule="exact"/>
        <w:ind w:firstLine="640" w:firstLineChars="200"/>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4、依法开展民事诉讼、行政诉讼和刑罚执行活动的法律监督工作。</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5、对于人民法院的民事审判活动实行法律监督，对人民法院已经发生效力的判决、裁定，发现违反法律、法规规定的，依法提出抗诉。</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宋体" w:eastAsia="仿宋_GB2312" w:cs="仿宋_GB2312"/>
          <w:color w:val="FF0000"/>
          <w:kern w:val="0"/>
          <w:sz w:val="32"/>
          <w:szCs w:val="32"/>
        </w:rPr>
        <w:t>6、负责</w:t>
      </w:r>
      <w:r>
        <w:rPr>
          <w:rFonts w:hint="eastAsia" w:ascii="仿宋_GB2312" w:hAnsi="MS Gothic" w:eastAsia="仿宋_GB2312" w:cs="仿宋_GB2312"/>
          <w:color w:val="FF0000"/>
          <w:kern w:val="0"/>
          <w:sz w:val="32"/>
          <w:szCs w:val="32"/>
        </w:rPr>
        <w:t>受理控告、申</w:t>
      </w:r>
      <w:r>
        <w:rPr>
          <w:rFonts w:hint="eastAsia" w:ascii="仿宋_GB2312" w:hAnsi="宋体" w:eastAsia="仿宋_GB2312" w:cs="仿宋_GB2312"/>
          <w:color w:val="FF0000"/>
          <w:kern w:val="0"/>
          <w:sz w:val="32"/>
          <w:szCs w:val="32"/>
        </w:rPr>
        <w:t>诉和检举</w:t>
      </w:r>
      <w:r>
        <w:rPr>
          <w:rFonts w:hint="eastAsia" w:ascii="仿宋_GB2312" w:hAnsi="MS Gothic" w:eastAsia="仿宋_GB2312" w:cs="仿宋_GB2312"/>
          <w:color w:val="FF0000"/>
          <w:kern w:val="0"/>
          <w:sz w:val="32"/>
          <w:szCs w:val="32"/>
        </w:rPr>
        <w:t>。承</w:t>
      </w:r>
      <w:r>
        <w:rPr>
          <w:rFonts w:hint="eastAsia" w:ascii="仿宋_GB2312" w:hAnsi="宋体" w:eastAsia="仿宋_GB2312" w:cs="仿宋_GB2312"/>
          <w:color w:val="FF0000"/>
          <w:kern w:val="0"/>
          <w:sz w:val="32"/>
          <w:szCs w:val="32"/>
        </w:rPr>
        <w:t>办</w:t>
      </w:r>
      <w:r>
        <w:rPr>
          <w:rFonts w:hint="eastAsia" w:ascii="仿宋_GB2312" w:hAnsi="MS Gothic" w:eastAsia="仿宋_GB2312" w:cs="仿宋_GB2312"/>
          <w:color w:val="FF0000"/>
          <w:kern w:val="0"/>
          <w:sz w:val="32"/>
          <w:szCs w:val="32"/>
        </w:rPr>
        <w:t>本院管</w:t>
      </w:r>
      <w:r>
        <w:rPr>
          <w:rFonts w:hint="eastAsia" w:ascii="仿宋_GB2312" w:hAnsi="宋体" w:eastAsia="仿宋_GB2312" w:cs="仿宋_GB2312"/>
          <w:color w:val="FF0000"/>
          <w:kern w:val="0"/>
          <w:sz w:val="32"/>
          <w:szCs w:val="32"/>
        </w:rPr>
        <w:t>辖</w:t>
      </w:r>
      <w:r>
        <w:rPr>
          <w:rFonts w:hint="eastAsia" w:ascii="仿宋_GB2312" w:hAnsi="MS Gothic" w:eastAsia="仿宋_GB2312" w:cs="仿宋_GB2312"/>
          <w:color w:val="FF0000"/>
          <w:kern w:val="0"/>
          <w:sz w:val="32"/>
          <w:szCs w:val="32"/>
        </w:rPr>
        <w:t>的国家赔偿案件和国家司法救助案件。</w:t>
      </w:r>
    </w:p>
    <w:p>
      <w:pPr>
        <w:pStyle w:val="5"/>
        <w:adjustRightInd w:val="0"/>
        <w:snapToGrid w:val="0"/>
        <w:spacing w:before="93" w:line="600" w:lineRule="exact"/>
        <w:ind w:firstLine="640" w:firstLineChars="200"/>
        <w:outlineLvl w:val="2"/>
        <w:rPr>
          <w:rFonts w:hAnsi="MS Gothic" w:cs="仿宋_GB2312"/>
          <w:color w:val="FF0000"/>
          <w:sz w:val="32"/>
          <w:szCs w:val="32"/>
        </w:rPr>
      </w:pPr>
      <w:r>
        <w:rPr>
          <w:rFonts w:hint="eastAsia" w:hAnsi="仿宋"/>
          <w:bCs/>
          <w:color w:val="FF0000"/>
          <w:sz w:val="32"/>
          <w:szCs w:val="32"/>
        </w:rPr>
        <w:t>7、</w:t>
      </w:r>
      <w:r>
        <w:rPr>
          <w:rFonts w:hint="eastAsia" w:hAnsi="MS Gothic" w:cs="仿宋_GB2312"/>
          <w:color w:val="FF0000"/>
          <w:sz w:val="32"/>
          <w:szCs w:val="32"/>
        </w:rPr>
        <w:t>负责法律政策研究工作。</w:t>
      </w:r>
    </w:p>
    <w:p>
      <w:pPr>
        <w:pStyle w:val="5"/>
        <w:adjustRightInd w:val="0"/>
        <w:snapToGrid w:val="0"/>
        <w:spacing w:before="93" w:line="600" w:lineRule="exact"/>
        <w:ind w:firstLine="640" w:firstLineChars="200"/>
        <w:outlineLvl w:val="2"/>
        <w:rPr>
          <w:rFonts w:hAnsi="MS Gothic" w:cs="仿宋_GB2312"/>
          <w:color w:val="FF0000"/>
          <w:sz w:val="32"/>
          <w:szCs w:val="32"/>
        </w:rPr>
      </w:pPr>
      <w:r>
        <w:rPr>
          <w:rFonts w:hint="eastAsia" w:hAnsi="MS Gothic" w:cs="仿宋_GB2312"/>
          <w:color w:val="FF0000"/>
          <w:sz w:val="32"/>
          <w:szCs w:val="32"/>
        </w:rPr>
        <w:t>8、管理检察官，抓好干警思想政治工作和队伍建设工作，加强教育培训工作。</w:t>
      </w:r>
    </w:p>
    <w:p>
      <w:pPr>
        <w:pStyle w:val="5"/>
        <w:adjustRightInd w:val="0"/>
        <w:snapToGrid w:val="0"/>
        <w:spacing w:before="93" w:line="600" w:lineRule="exact"/>
        <w:ind w:firstLine="640" w:firstLineChars="200"/>
        <w:outlineLvl w:val="2"/>
        <w:rPr>
          <w:rFonts w:hAnsi="MS Gothic" w:cs="仿宋_GB2312"/>
          <w:color w:val="FF0000"/>
          <w:sz w:val="32"/>
          <w:szCs w:val="32"/>
        </w:rPr>
      </w:pPr>
      <w:r>
        <w:rPr>
          <w:rFonts w:hint="eastAsia" w:hAnsi="MS Gothic" w:cs="仿宋_GB2312"/>
          <w:color w:val="FF0000"/>
          <w:sz w:val="32"/>
          <w:szCs w:val="32"/>
        </w:rPr>
        <w:t>9、规划和管理本院的财务、装备、档案等工作。</w:t>
      </w:r>
    </w:p>
    <w:p>
      <w:pPr>
        <w:pStyle w:val="5"/>
        <w:adjustRightInd w:val="0"/>
        <w:snapToGrid w:val="0"/>
        <w:spacing w:before="93" w:line="600" w:lineRule="exact"/>
        <w:ind w:firstLine="640" w:firstLineChars="200"/>
        <w:outlineLvl w:val="2"/>
        <w:rPr>
          <w:rFonts w:ascii="仿宋" w:hAnsi="仿宋" w:eastAsia="仿宋"/>
          <w:bCs/>
          <w:color w:val="FF0000"/>
          <w:sz w:val="32"/>
          <w:szCs w:val="32"/>
        </w:rPr>
      </w:pPr>
      <w:r>
        <w:rPr>
          <w:rFonts w:hint="eastAsia" w:hAnsi="MS Gothic" w:cs="仿宋_GB2312"/>
          <w:color w:val="FF0000"/>
          <w:sz w:val="32"/>
          <w:szCs w:val="32"/>
        </w:rPr>
        <w:t>10、负责其他应当由名山区检察院承办的事项。</w:t>
      </w:r>
    </w:p>
    <w:p>
      <w:pPr>
        <w:adjustRightInd w:val="0"/>
        <w:snapToGrid w:val="0"/>
        <w:spacing w:line="560" w:lineRule="exact"/>
        <w:ind w:firstLine="640" w:firstLineChars="200"/>
        <w:rPr>
          <w:rFonts w:ascii="楷体_GB2312" w:hAnsi="仿宋" w:eastAsia="楷体_GB2312"/>
          <w:bCs/>
          <w:color w:val="000000"/>
          <w:sz w:val="32"/>
          <w:szCs w:val="32"/>
        </w:rPr>
      </w:pPr>
      <w:bookmarkStart w:id="18" w:name="_Toc15378446"/>
      <w:bookmarkStart w:id="19" w:name="_Toc15377199"/>
      <w:r>
        <w:rPr>
          <w:rFonts w:hint="eastAsia" w:ascii="楷体_GB2312" w:hAnsi="仿宋" w:eastAsia="楷体_GB2312"/>
          <w:bCs/>
          <w:color w:val="000000"/>
          <w:sz w:val="32"/>
          <w:szCs w:val="32"/>
        </w:rPr>
        <w:t>（二）2018年重点工作完成情况。</w:t>
      </w:r>
      <w:bookmarkEnd w:id="18"/>
      <w:bookmarkEnd w:id="19"/>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2018年我单位在市检察院和区委的领导下，深入学习贯彻习近平新时代中国特色社会主义思想，以“讲政治、顾大局、谋发展、图自强”为总要求，积极围绕大局履行职能，依法保障和促进经济持续平稳健康发展；依法履行批捕起诉等职能，维护社会和谐稳定；推进反腐倡廉建设，查办预防职务犯罪；强化诉讼活动监督，维护和促进司法公正；强化基层建设，提升群众知晓率满意度。</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_GB2312" w:hAnsi="仿宋" w:eastAsia="仿宋_GB2312"/>
          <w:sz w:val="32"/>
          <w:szCs w:val="32"/>
        </w:rPr>
      </w:pPr>
      <w:r>
        <w:rPr>
          <w:rFonts w:hint="eastAsia" w:ascii="仿宋_GB2312" w:hAnsi="仿宋" w:eastAsia="仿宋_GB2312"/>
          <w:sz w:val="32"/>
          <w:szCs w:val="32"/>
        </w:rPr>
        <w:t>名山区检察院下属二级单位0个，其中行政单位0个，参照公务员法管理的事业单位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个，其他事业单位0个。</w:t>
      </w:r>
    </w:p>
    <w:p>
      <w:pPr>
        <w:pStyle w:val="5"/>
        <w:adjustRightInd w:val="0"/>
        <w:snapToGrid w:val="0"/>
        <w:spacing w:before="93" w:line="600" w:lineRule="exact"/>
        <w:ind w:firstLine="672" w:firstLineChars="210"/>
        <w:rPr>
          <w:rFonts w:hAnsi="仿宋"/>
          <w:color w:val="000000"/>
          <w:sz w:val="32"/>
          <w:szCs w:val="32"/>
        </w:rPr>
      </w:pPr>
      <w:r>
        <w:rPr>
          <w:rFonts w:hint="eastAsia" w:hAnsi="仿宋"/>
          <w:color w:val="000000"/>
          <w:sz w:val="32"/>
          <w:szCs w:val="32"/>
        </w:rPr>
        <w:t>纳入名山区检察院2018年度部门决算编制范围的预算单位包括：雅安市名山区人民检察院（本级）。</w:t>
      </w:r>
    </w:p>
    <w:p>
      <w:pPr>
        <w:pStyle w:val="2"/>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2018年度收、支总计647.79万元。与2017年相比，收、支总计各减少111.74万元，下降14.73%。主要变动原因是由于2017年</w:t>
      </w:r>
      <w:r>
        <w:rPr>
          <w:rFonts w:hint="eastAsia" w:ascii="仿宋_GB2312" w:hAnsi="仿宋" w:eastAsia="仿宋_GB2312"/>
          <w:color w:val="FF0000"/>
          <w:sz w:val="32"/>
          <w:szCs w:val="32"/>
        </w:rPr>
        <w:t>为争创全国模范检察院，区财政追加了一笔经费用于该项工作而2018年没有，所以引起了减少</w:t>
      </w:r>
      <w:r>
        <w:rPr>
          <w:rFonts w:hint="eastAsia" w:ascii="仿宋_GB2312" w:hAnsi="仿宋" w:eastAsia="仿宋_GB2312"/>
          <w:color w:val="000000"/>
          <w:sz w:val="32"/>
          <w:szCs w:val="32"/>
        </w:rPr>
        <w:t>。</w:t>
      </w:r>
    </w:p>
    <w:p>
      <w:pPr>
        <w:spacing w:line="60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sz w:val="32"/>
          <w:szCs w:val="32"/>
        </w:rPr>
        <w:t>（图1：收、支决算总计变动情况图）（</w:t>
      </w:r>
      <w:r>
        <w:rPr>
          <w:rFonts w:hint="eastAsia" w:ascii="仿宋_GB2312" w:hAnsi="仿宋" w:eastAsia="仿宋_GB2312"/>
          <w:color w:val="000000" w:themeColor="text1"/>
          <w:sz w:val="32"/>
          <w:szCs w:val="32"/>
        </w:rPr>
        <w:t>柱状图）</w:t>
      </w:r>
    </w:p>
    <w:p>
      <w:pPr>
        <w:spacing w:line="720" w:lineRule="auto"/>
        <w:ind w:firstLine="640" w:firstLineChars="200"/>
        <w:rPr>
          <w:rFonts w:ascii="仿宋" w:hAnsi="仿宋" w:eastAsia="仿宋"/>
          <w:color w:val="000000" w:themeColor="text1"/>
          <w:sz w:val="32"/>
          <w:szCs w:val="32"/>
        </w:rPr>
      </w:pPr>
    </w:p>
    <w:p>
      <w:pPr>
        <w:spacing w:line="720" w:lineRule="auto"/>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572000" cy="2743200"/>
            <wp:effectExtent l="19050" t="0" r="19050" b="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hAnsi="仿宋" w:eastAsia="仿宋_GB2312"/>
          <w:color w:val="FF0000"/>
          <w:sz w:val="32"/>
          <w:szCs w:val="32"/>
        </w:rPr>
      </w:pPr>
      <w:r>
        <w:rPr>
          <w:rFonts w:hint="eastAsia" w:ascii="仿宋_GB2312" w:hAnsi="仿宋" w:eastAsia="仿宋_GB2312"/>
          <w:color w:val="FF0000"/>
          <w:sz w:val="32"/>
          <w:szCs w:val="32"/>
        </w:rPr>
        <w:t>2018年本年收入合计647.79万元，其中：一般公共预算财政拨款收入647.59万元，占99.97%；其他收入0.2万元，占0.03%。</w:t>
      </w:r>
    </w:p>
    <w:p>
      <w:pPr>
        <w:snapToGrid w:val="0"/>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（图2：收入决算结构图）（饼状图）</w:t>
      </w:r>
    </w:p>
    <w:p>
      <w:pPr>
        <w:kinsoku w:val="0"/>
        <w:overflowPunct w:val="0"/>
        <w:autoSpaceDE w:val="0"/>
        <w:autoSpaceDN w:val="0"/>
        <w:adjustRightInd w:val="0"/>
        <w:snapToGrid w:val="0"/>
        <w:spacing w:line="600" w:lineRule="exact"/>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1312" behindDoc="1" locked="0" layoutInCell="1" allowOverlap="1">
            <wp:simplePos x="0" y="0"/>
            <wp:positionH relativeFrom="column">
              <wp:posOffset>600075</wp:posOffset>
            </wp:positionH>
            <wp:positionV relativeFrom="paragraph">
              <wp:posOffset>161925</wp:posOffset>
            </wp:positionV>
            <wp:extent cx="4573270" cy="2743200"/>
            <wp:effectExtent l="19050" t="0" r="17780" b="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tabs>
          <w:tab w:val="left" w:pos="5190"/>
        </w:tabs>
        <w:spacing w:line="720" w:lineRule="auto"/>
        <w:ind w:firstLine="640" w:firstLineChars="200"/>
        <w:rPr>
          <w:rFonts w:ascii="仿宋" w:hAnsi="仿宋" w:eastAsia="仿宋"/>
          <w:color w:val="000000" w:themeColor="text1"/>
          <w:sz w:val="32"/>
          <w:szCs w:val="32"/>
        </w:rPr>
      </w:pPr>
    </w:p>
    <w:p>
      <w:pPr>
        <w:tabs>
          <w:tab w:val="left" w:pos="5190"/>
        </w:tabs>
        <w:spacing w:line="720" w:lineRule="auto"/>
        <w:ind w:firstLine="640" w:firstLineChars="200"/>
        <w:rPr>
          <w:rFonts w:ascii="仿宋" w:hAnsi="仿宋" w:eastAsia="仿宋"/>
          <w:color w:val="000000" w:themeColor="text1"/>
          <w:sz w:val="32"/>
          <w:szCs w:val="32"/>
        </w:rPr>
      </w:pPr>
    </w:p>
    <w:p>
      <w:pPr>
        <w:tabs>
          <w:tab w:val="left" w:pos="5190"/>
        </w:tabs>
        <w:spacing w:line="720" w:lineRule="auto"/>
        <w:rPr>
          <w:rFonts w:ascii="仿宋" w:hAnsi="仿宋" w:eastAsia="仿宋"/>
          <w:color w:val="000000" w:themeColor="text1"/>
          <w:sz w:val="32"/>
          <w:szCs w:val="32"/>
        </w:rPr>
      </w:pPr>
    </w:p>
    <w:p>
      <w:pPr>
        <w:tabs>
          <w:tab w:val="left" w:pos="5190"/>
        </w:tabs>
        <w:spacing w:line="720" w:lineRule="auto"/>
        <w:rPr>
          <w:rFonts w:ascii="仿宋" w:hAnsi="仿宋" w:eastAsia="仿宋"/>
          <w:color w:val="000000" w:themeColor="text1"/>
          <w:sz w:val="32"/>
          <w:szCs w:val="32"/>
        </w:rPr>
      </w:pPr>
    </w:p>
    <w:p>
      <w:pPr>
        <w:tabs>
          <w:tab w:val="left" w:pos="5190"/>
        </w:tabs>
        <w:spacing w:line="720" w:lineRule="auto"/>
        <w:rPr>
          <w:rFonts w:ascii="仿宋" w:hAnsi="仿宋" w:eastAsia="仿宋"/>
          <w:color w:val="000000" w:themeColor="text1"/>
          <w:sz w:val="32"/>
          <w:szCs w:val="32"/>
        </w:rPr>
      </w:pPr>
      <w:r>
        <w:rPr>
          <w:rFonts w:ascii="仿宋" w:hAnsi="仿宋" w:eastAsia="仿宋"/>
          <w:color w:val="000000" w:themeColor="text1"/>
          <w:sz w:val="32"/>
          <w:szCs w:val="32"/>
        </w:rPr>
        <w:tab/>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_GB2312" w:hAnsi="仿宋" w:eastAsia="仿宋_GB2312"/>
          <w:color w:val="FF0000"/>
          <w:sz w:val="32"/>
          <w:szCs w:val="32"/>
          <w:shd w:val="pct10" w:color="auto" w:fill="FFFFFF"/>
        </w:rPr>
      </w:pPr>
      <w:r>
        <w:rPr>
          <w:rFonts w:hint="eastAsia" w:ascii="仿宋_GB2312" w:hAnsi="仿宋" w:eastAsia="仿宋_GB2312"/>
          <w:color w:val="FF0000"/>
          <w:sz w:val="32"/>
          <w:szCs w:val="32"/>
        </w:rPr>
        <w:t>2018年本年支出合计647.79万元，其中：基本支出647.79万元，占100%。</w:t>
      </w:r>
    </w:p>
    <w:p>
      <w:pPr>
        <w:spacing w:line="60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（图3：支出决算结构图）（饼状图）</w:t>
      </w:r>
      <w:bookmarkStart w:id="30" w:name="_Toc15396606"/>
      <w:bookmarkStart w:id="31" w:name="_Toc15377208"/>
    </w:p>
    <w:p>
      <w:pPr>
        <w:outlineLvl w:val="1"/>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572000" cy="2743200"/>
            <wp:effectExtent l="19050" t="0" r="19050"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Fonts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2018年财政拨款收、支总计1295.58万元。与2017年相比，财政拨款收、支总计各减少223.48万元，下降14.73%。主要变动原因是由于2017年为争创全国模范检察院，区财政追加了一笔经费用于该项工作而2018年没有，所以引起了减少。</w:t>
      </w:r>
    </w:p>
    <w:p>
      <w:pPr>
        <w:spacing w:line="60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（图4：财政拨款收、支决算总计变动情况）（柱状图）</w:t>
      </w:r>
    </w:p>
    <w:p>
      <w:pPr>
        <w:ind w:firstLine="641"/>
        <w:rPr>
          <w:rFonts w:ascii="仿宋" w:hAnsi="仿宋" w:eastAsia="仿宋"/>
          <w:b/>
          <w:color w:val="000000" w:themeColor="text1"/>
          <w:sz w:val="32"/>
          <w:szCs w:val="32"/>
        </w:rPr>
      </w:pPr>
      <w:r>
        <w:rPr>
          <w:rFonts w:ascii="仿宋" w:hAnsi="仿宋" w:eastAsia="仿宋"/>
          <w:b/>
          <w:color w:val="000000" w:themeColor="text1"/>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楷体_GB2312" w:hAnsi="仿宋" w:eastAsia="楷体_GB2312"/>
          <w:color w:val="000000"/>
          <w:sz w:val="32"/>
          <w:szCs w:val="32"/>
        </w:rPr>
      </w:pPr>
      <w:bookmarkStart w:id="34" w:name="_Toc15377210"/>
      <w:r>
        <w:rPr>
          <w:rFonts w:hint="eastAsia" w:ascii="楷体_GB2312" w:hAnsi="仿宋" w:eastAsia="楷体_GB2312"/>
          <w:color w:val="000000"/>
          <w:sz w:val="32"/>
          <w:szCs w:val="32"/>
        </w:rPr>
        <w:t>（一）一般公共预算财政拨款支出决算总体情况</w:t>
      </w:r>
      <w:bookmarkEnd w:id="34"/>
    </w:p>
    <w:p>
      <w:pPr>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color w:val="000000"/>
          <w:sz w:val="32"/>
          <w:szCs w:val="32"/>
        </w:rPr>
        <w:t>2018年一般公共预算财政拨款支出647.59万元，占本年支出合计的99.97%。与2017年相比，一般公共预算财政拨款减少111.87万元，下降17.27%。主要变动原因是由于</w:t>
      </w:r>
      <w:r>
        <w:rPr>
          <w:rFonts w:hint="eastAsia" w:ascii="仿宋_GB2312" w:hAnsi="仿宋" w:eastAsia="仿宋_GB2312"/>
          <w:color w:val="FF0000"/>
          <w:sz w:val="32"/>
          <w:szCs w:val="32"/>
        </w:rPr>
        <w:t>2017年为争创全国模范检察院，区财政追加了一笔经费用于该项工作而2018年没有，所以引起了减少。</w:t>
      </w:r>
    </w:p>
    <w:p>
      <w:pPr>
        <w:spacing w:line="60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（图5：一般公共预算财政拨款支出决算变动情况）（柱状图）</w:t>
      </w:r>
      <w:bookmarkStart w:id="35" w:name="_Toc15377211"/>
    </w:p>
    <w:p>
      <w:pPr>
        <w:ind w:firstLine="642" w:firstLineChars="200"/>
        <w:outlineLvl w:val="2"/>
        <w:rPr>
          <w:rFonts w:ascii="仿宋" w:hAnsi="仿宋" w:eastAsia="仿宋"/>
          <w:b/>
          <w:color w:val="000000"/>
          <w:sz w:val="32"/>
          <w:szCs w:val="32"/>
        </w:rPr>
      </w:pPr>
      <w:r>
        <w:rPr>
          <w:rFonts w:ascii="仿宋" w:hAnsi="仿宋" w:eastAsia="仿宋"/>
          <w:b/>
          <w:color w:val="000000"/>
          <w:sz w:val="32"/>
          <w:szCs w:val="32"/>
        </w:rPr>
        <w:drawing>
          <wp:inline distT="0" distB="0" distL="0" distR="0">
            <wp:extent cx="4572000" cy="2743200"/>
            <wp:effectExtent l="19050" t="0" r="19050" b="0"/>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2"/>
        <w:rPr>
          <w:rFonts w:ascii="楷体_GB2312" w:hAnsi="仿宋" w:eastAsia="楷体_GB2312"/>
          <w:color w:val="000000"/>
          <w:sz w:val="32"/>
          <w:szCs w:val="32"/>
        </w:rPr>
      </w:pPr>
      <w:r>
        <w:rPr>
          <w:rFonts w:hint="eastAsia" w:ascii="楷体_GB2312" w:hAnsi="仿宋" w:eastAsia="楷体_GB2312"/>
          <w:color w:val="000000"/>
          <w:sz w:val="32"/>
          <w:szCs w:val="32"/>
        </w:rPr>
        <w:t>（二）一般公共预算财政拨款支出决算结构情况</w:t>
      </w:r>
      <w:bookmarkEnd w:id="35"/>
    </w:p>
    <w:p>
      <w:pPr>
        <w:spacing w:line="600" w:lineRule="exact"/>
        <w:ind w:firstLine="640"/>
        <w:rPr>
          <w:rFonts w:ascii="仿宋_GB2312" w:hAnsi="仿宋" w:eastAsia="仿宋_GB2312"/>
          <w:color w:val="000000" w:themeColor="text1"/>
          <w:sz w:val="32"/>
          <w:szCs w:val="32"/>
        </w:rPr>
      </w:pPr>
      <w:r>
        <w:rPr>
          <w:rFonts w:hint="eastAsia" w:ascii="仿宋_GB2312" w:hAnsi="仿宋" w:eastAsia="仿宋_GB2312"/>
          <w:color w:val="000000"/>
          <w:sz w:val="32"/>
          <w:szCs w:val="32"/>
        </w:rPr>
        <w:t>2018年一般公共预算财</w:t>
      </w:r>
      <w:r>
        <w:rPr>
          <w:rFonts w:hint="eastAsia" w:ascii="仿宋_GB2312" w:hAnsi="仿宋" w:eastAsia="仿宋_GB2312"/>
          <w:color w:val="000000" w:themeColor="text1"/>
          <w:sz w:val="32"/>
          <w:szCs w:val="32"/>
        </w:rPr>
        <w:t>政拨款支出647.59.万元，主要用于以下方面:</w:t>
      </w:r>
      <w:r>
        <w:rPr>
          <w:rFonts w:hint="eastAsia" w:ascii="仿宋_GB2312" w:hAnsi="仿宋" w:eastAsia="仿宋_GB2312"/>
          <w:b/>
          <w:color w:val="000000" w:themeColor="text1"/>
          <w:sz w:val="32"/>
          <w:szCs w:val="32"/>
        </w:rPr>
        <w:t>公共安全（类）20404</w:t>
      </w:r>
      <w:r>
        <w:rPr>
          <w:rFonts w:hint="eastAsia" w:ascii="仿宋_GB2312" w:hAnsi="仿宋" w:eastAsia="仿宋_GB2312"/>
          <w:color w:val="000000" w:themeColor="text1"/>
          <w:sz w:val="32"/>
          <w:szCs w:val="32"/>
        </w:rPr>
        <w:t>支出573.29万元，占88.53%；</w:t>
      </w:r>
      <w:r>
        <w:rPr>
          <w:rFonts w:hint="eastAsia" w:ascii="仿宋_GB2312" w:hAnsi="仿宋" w:eastAsia="仿宋_GB2312"/>
          <w:b/>
          <w:color w:val="000000" w:themeColor="text1"/>
          <w:sz w:val="32"/>
          <w:szCs w:val="32"/>
        </w:rPr>
        <w:t>社会保障和就业（类）20805</w:t>
      </w:r>
      <w:r>
        <w:rPr>
          <w:rFonts w:hint="eastAsia" w:ascii="仿宋_GB2312" w:hAnsi="仿宋" w:eastAsia="仿宋_GB2312"/>
          <w:color w:val="000000" w:themeColor="text1"/>
          <w:sz w:val="32"/>
          <w:szCs w:val="32"/>
        </w:rPr>
        <w:t xml:space="preserve">支出42.27万元，占6.53%；21011医疗卫生支出32.03万元，占4.94%； </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（图6：一般公共预算财政拨款支出决算结构）（饼状图）</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2"/>
        <w:rPr>
          <w:rFonts w:ascii="楷体_GB2312" w:hAnsi="仿宋" w:eastAsia="楷体_GB2312"/>
          <w:color w:val="000000"/>
          <w:sz w:val="32"/>
          <w:szCs w:val="32"/>
        </w:rPr>
      </w:pPr>
      <w:bookmarkStart w:id="36" w:name="_Toc15377212"/>
      <w:r>
        <w:rPr>
          <w:rFonts w:hint="eastAsia" w:ascii="楷体_GB2312" w:hAnsi="仿宋" w:eastAsia="楷体_GB2312"/>
          <w:color w:val="000000"/>
          <w:sz w:val="32"/>
          <w:szCs w:val="32"/>
        </w:rPr>
        <w:t>（三）一般公共预算财政拨款支出决算具体情况</w:t>
      </w:r>
      <w:bookmarkEnd w:id="36"/>
    </w:p>
    <w:p>
      <w:pPr>
        <w:spacing w:line="600" w:lineRule="exact"/>
        <w:ind w:firstLine="642" w:firstLineChars="200"/>
        <w:outlineLvl w:val="2"/>
        <w:rPr>
          <w:rFonts w:ascii="仿宋_GB2312" w:hAnsi="仿宋" w:eastAsia="仿宋_GB2312"/>
          <w:color w:val="FF0000"/>
          <w:sz w:val="32"/>
          <w:szCs w:val="32"/>
        </w:rPr>
      </w:pPr>
      <w:bookmarkStart w:id="37" w:name="_Toc15377444"/>
      <w:bookmarkStart w:id="38" w:name="_Toc15377213"/>
      <w:bookmarkStart w:id="39" w:name="_Toc15378460"/>
      <w:r>
        <w:rPr>
          <w:rFonts w:hint="eastAsia" w:ascii="仿宋_GB2312" w:hAnsi="仿宋" w:eastAsia="仿宋_GB2312"/>
          <w:b/>
          <w:color w:val="000000" w:themeColor="text1"/>
          <w:sz w:val="32"/>
          <w:szCs w:val="32"/>
        </w:rPr>
        <w:t>2018年一般公共预算支出决算数为647.59</w:t>
      </w:r>
      <w:r>
        <w:rPr>
          <w:rFonts w:hint="eastAsia" w:ascii="仿宋_GB2312" w:hAnsi="仿宋" w:eastAsia="仿宋_GB2312"/>
          <w:color w:val="000000" w:themeColor="text1"/>
          <w:sz w:val="32"/>
          <w:szCs w:val="32"/>
        </w:rPr>
        <w:t>，</w:t>
      </w:r>
      <w:r>
        <w:rPr>
          <w:rStyle w:val="14"/>
          <w:rFonts w:hint="eastAsia" w:ascii="仿宋_GB2312" w:hAnsi="仿宋" w:eastAsia="仿宋_GB2312"/>
          <w:bCs/>
          <w:color w:val="000000" w:themeColor="text1"/>
          <w:sz w:val="32"/>
          <w:szCs w:val="32"/>
        </w:rPr>
        <w:t>完成</w:t>
      </w:r>
      <w:r>
        <w:rPr>
          <w:rStyle w:val="14"/>
          <w:rFonts w:hint="eastAsia" w:ascii="仿宋_GB2312" w:hAnsi="仿宋" w:eastAsia="仿宋_GB2312"/>
          <w:bCs/>
          <w:color w:val="000000"/>
          <w:sz w:val="32"/>
          <w:szCs w:val="32"/>
        </w:rPr>
        <w:t>预算100%。其中：</w:t>
      </w:r>
      <w:bookmarkEnd w:id="37"/>
      <w:bookmarkEnd w:id="38"/>
      <w:bookmarkEnd w:id="39"/>
    </w:p>
    <w:p>
      <w:pPr>
        <w:spacing w:line="600" w:lineRule="exact"/>
        <w:ind w:firstLine="640" w:firstLineChars="200"/>
        <w:rPr>
          <w:rStyle w:val="14"/>
          <w:rFonts w:ascii="仿宋_GB2312" w:hAnsi="仿宋" w:eastAsia="仿宋_GB2312"/>
          <w:b w:val="0"/>
          <w:bCs/>
          <w:color w:val="FF0000"/>
          <w:sz w:val="32"/>
          <w:szCs w:val="32"/>
        </w:rPr>
      </w:pPr>
      <w:r>
        <w:rPr>
          <w:rFonts w:hint="eastAsia" w:ascii="仿宋_GB2312" w:hAnsi="仿宋" w:eastAsia="仿宋_GB2312"/>
          <w:bCs/>
          <w:color w:val="FF0000"/>
          <w:sz w:val="32"/>
          <w:szCs w:val="32"/>
        </w:rPr>
        <w:t>1.</w:t>
      </w:r>
      <w:r>
        <w:rPr>
          <w:rFonts w:hint="eastAsia" w:ascii="仿宋_GB2312" w:hAnsi="仿宋" w:eastAsia="仿宋_GB2312"/>
          <w:b/>
          <w:bCs/>
          <w:color w:val="FF0000"/>
          <w:sz w:val="32"/>
          <w:szCs w:val="32"/>
        </w:rPr>
        <w:t>公共安全支出（类）检察(款)行政运行（项）：</w:t>
      </w:r>
      <w:r>
        <w:rPr>
          <w:rFonts w:hint="eastAsia" w:ascii="仿宋_GB2312" w:hAnsi="仿宋" w:eastAsia="仿宋_GB2312"/>
          <w:bCs/>
          <w:color w:val="FF0000"/>
          <w:sz w:val="32"/>
          <w:szCs w:val="32"/>
        </w:rPr>
        <w:t>支出决算为573.29万元，完成预算数100%，</w:t>
      </w:r>
      <w:r>
        <w:rPr>
          <w:rStyle w:val="14"/>
          <w:rFonts w:hint="eastAsia" w:ascii="仿宋_GB2312" w:hAnsi="仿宋" w:eastAsia="仿宋_GB2312"/>
          <w:b w:val="0"/>
          <w:bCs/>
          <w:color w:val="FF0000"/>
          <w:sz w:val="32"/>
          <w:szCs w:val="32"/>
        </w:rPr>
        <w:t>决算数等于预算数的主要原因是控制支出，实现收支平衡。</w:t>
      </w:r>
    </w:p>
    <w:p>
      <w:pPr>
        <w:spacing w:line="600" w:lineRule="exact"/>
        <w:ind w:firstLine="642" w:firstLineChars="200"/>
        <w:rPr>
          <w:rStyle w:val="14"/>
          <w:rFonts w:ascii="仿宋_GB2312" w:hAnsi="仿宋" w:eastAsia="仿宋_GB2312"/>
          <w:b w:val="0"/>
          <w:bCs/>
          <w:color w:val="FF0000"/>
          <w:sz w:val="32"/>
          <w:szCs w:val="32"/>
        </w:rPr>
      </w:pPr>
      <w:r>
        <w:rPr>
          <w:rStyle w:val="14"/>
          <w:rFonts w:hint="eastAsia" w:ascii="仿宋_GB2312" w:hAnsi="仿宋" w:eastAsia="仿宋_GB2312"/>
          <w:bCs/>
          <w:color w:val="FF0000"/>
          <w:sz w:val="32"/>
          <w:szCs w:val="32"/>
        </w:rPr>
        <w:t>2.社会保障和就业支出（类）行政事业单位离退休（款）机关事业单位基本养老保险缴费支出（项）:</w:t>
      </w:r>
      <w:r>
        <w:rPr>
          <w:rStyle w:val="14"/>
          <w:rFonts w:hint="eastAsia" w:ascii="仿宋_GB2312" w:hAnsi="仿宋" w:eastAsia="仿宋_GB2312"/>
          <w:b w:val="0"/>
          <w:bCs/>
          <w:color w:val="FF0000"/>
          <w:sz w:val="32"/>
          <w:szCs w:val="32"/>
        </w:rPr>
        <w:t xml:space="preserve"> 支出决算为42.27万元，完成预算100%，决算数等于预算数的主要原因是控制支出，实现收支平衡。</w:t>
      </w:r>
    </w:p>
    <w:p>
      <w:pPr>
        <w:spacing w:line="600" w:lineRule="exact"/>
        <w:ind w:firstLine="642" w:firstLineChars="200"/>
        <w:rPr>
          <w:rStyle w:val="14"/>
          <w:rFonts w:ascii="仿宋_GB2312" w:hAnsi="仿宋" w:eastAsia="仿宋_GB2312"/>
          <w:b w:val="0"/>
          <w:bCs/>
          <w:color w:val="FF0000"/>
          <w:sz w:val="32"/>
          <w:szCs w:val="32"/>
        </w:rPr>
      </w:pPr>
      <w:r>
        <w:rPr>
          <w:rStyle w:val="14"/>
          <w:rFonts w:hint="eastAsia" w:ascii="仿宋_GB2312" w:hAnsi="仿宋" w:eastAsia="仿宋_GB2312"/>
          <w:bCs/>
          <w:color w:val="FF0000"/>
          <w:sz w:val="32"/>
          <w:szCs w:val="32"/>
        </w:rPr>
        <w:t>3.医疗卫生与计划生育支出（类）行政事业单位医疗（款）行政单位医疗（项）:</w:t>
      </w:r>
      <w:r>
        <w:rPr>
          <w:rStyle w:val="14"/>
          <w:rFonts w:hint="eastAsia" w:ascii="仿宋_GB2312" w:hAnsi="仿宋" w:eastAsia="仿宋_GB2312"/>
          <w:b w:val="0"/>
          <w:bCs/>
          <w:color w:val="FF0000"/>
          <w:sz w:val="32"/>
          <w:szCs w:val="32"/>
        </w:rPr>
        <w:t>支出决算为25.01万元，完成预算100%，决算数等于预算数的主要原因是控制支出，实现收支平衡。</w:t>
      </w:r>
    </w:p>
    <w:p>
      <w:pPr>
        <w:spacing w:line="600" w:lineRule="exact"/>
        <w:ind w:firstLine="640" w:firstLineChars="200"/>
        <w:rPr>
          <w:rStyle w:val="14"/>
          <w:rFonts w:ascii="仿宋_GB2312" w:hAnsi="仿宋" w:eastAsia="仿宋_GB2312"/>
          <w:b w:val="0"/>
          <w:bCs/>
          <w:color w:val="FF0000"/>
          <w:sz w:val="32"/>
          <w:szCs w:val="32"/>
        </w:rPr>
      </w:pPr>
      <w:r>
        <w:rPr>
          <w:rStyle w:val="14"/>
          <w:rFonts w:hint="eastAsia" w:ascii="仿宋_GB2312" w:hAnsi="仿宋" w:eastAsia="仿宋_GB2312"/>
          <w:b w:val="0"/>
          <w:bCs/>
          <w:color w:val="FF0000"/>
          <w:sz w:val="32"/>
          <w:szCs w:val="32"/>
          <w:lang w:val="en-US" w:eastAsia="zh-CN"/>
        </w:rPr>
        <w:t>4</w:t>
      </w:r>
      <w:r>
        <w:rPr>
          <w:rStyle w:val="14"/>
          <w:rFonts w:hint="eastAsia" w:ascii="仿宋_GB2312" w:hAnsi="仿宋" w:eastAsia="仿宋_GB2312"/>
          <w:b w:val="0"/>
          <w:bCs/>
          <w:color w:val="FF0000"/>
          <w:sz w:val="32"/>
          <w:szCs w:val="32"/>
        </w:rPr>
        <w:t>.</w:t>
      </w:r>
      <w:r>
        <w:rPr>
          <w:rStyle w:val="14"/>
          <w:rFonts w:hint="eastAsia" w:ascii="仿宋_GB2312" w:hAnsi="仿宋" w:eastAsia="仿宋_GB2312"/>
          <w:bCs/>
          <w:color w:val="FF0000"/>
          <w:sz w:val="32"/>
          <w:szCs w:val="32"/>
        </w:rPr>
        <w:t>医疗卫生与计划生育支出（类）行政事业单位医疗（款）公务员医疗补助（项）:支出决算为7.02万元，</w:t>
      </w:r>
      <w:r>
        <w:rPr>
          <w:rStyle w:val="14"/>
          <w:rFonts w:hint="eastAsia" w:ascii="仿宋_GB2312" w:hAnsi="仿宋" w:eastAsia="仿宋_GB2312"/>
          <w:b w:val="0"/>
          <w:bCs/>
          <w:color w:val="FF0000"/>
          <w:sz w:val="32"/>
          <w:szCs w:val="32"/>
        </w:rPr>
        <w:t>完成预算100%，决算数等于预算数的主要原因是控制支出，实现收支平衡。</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_GB2312" w:hAnsi="仿宋" w:eastAsia="仿宋_GB2312"/>
          <w:color w:val="FF0000"/>
          <w:sz w:val="32"/>
          <w:szCs w:val="32"/>
        </w:rPr>
      </w:pPr>
      <w:r>
        <w:rPr>
          <w:rFonts w:hint="eastAsia" w:ascii="仿宋_GB2312" w:hAnsi="仿宋" w:eastAsia="仿宋_GB2312"/>
          <w:color w:val="FF0000"/>
          <w:sz w:val="32"/>
          <w:szCs w:val="32"/>
        </w:rPr>
        <w:t>2018年一般公共预算财政拨款基本支出647.59万元，其中：人员经费408.74万元，主要包括：基本工资、津贴补贴、奖金、绩效工资、机关事业单位基本养老保险缴费、其他社会保障缴费、其他工资福利支出、退休费、生活补助等。</w:t>
      </w:r>
      <w:r>
        <w:rPr>
          <w:rFonts w:hint="eastAsia" w:ascii="仿宋_GB2312" w:hAnsi="仿宋" w:eastAsia="仿宋_GB2312"/>
          <w:color w:val="FF0000"/>
          <w:sz w:val="32"/>
          <w:szCs w:val="32"/>
        </w:rPr>
        <w:br w:type="textWrapping"/>
      </w:r>
      <w:r>
        <w:rPr>
          <w:rFonts w:hint="eastAsia" w:ascii="仿宋_GB2312" w:hAnsi="仿宋" w:eastAsia="仿宋_GB2312"/>
          <w:color w:val="FF0000"/>
          <w:sz w:val="32"/>
          <w:szCs w:val="32"/>
        </w:rPr>
        <w:t>　　公用经费238.85万元，主要包括：办公费、手续费、水费、电费、邮电费、物业管理费、差旅费、维修（护）费、会议费、培训费、公务接待费、劳务费、工会经费、公务用车运行维护费、其他交通费、其他商品和服务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楷体_GB2312" w:hAnsi="仿宋" w:eastAsia="楷体_GB2312"/>
          <w:color w:val="000000"/>
          <w:sz w:val="32"/>
          <w:szCs w:val="32"/>
        </w:rPr>
      </w:pPr>
      <w:bookmarkStart w:id="44" w:name="_Toc15377216"/>
      <w:r>
        <w:rPr>
          <w:rFonts w:hint="eastAsia" w:ascii="楷体_GB2312" w:hAnsi="仿宋" w:eastAsia="楷体_GB2312"/>
          <w:color w:val="000000"/>
          <w:sz w:val="32"/>
          <w:szCs w:val="32"/>
        </w:rPr>
        <w:t>（一）“三公”经费财政拨款支出决算总体情况说明</w:t>
      </w:r>
      <w:bookmarkEnd w:id="44"/>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2018年“三公”经费财政拨款支出决算为10.97万元，</w:t>
      </w:r>
      <w:r>
        <w:rPr>
          <w:rFonts w:hint="eastAsia" w:ascii="仿宋_GB2312" w:hAnsi="仿宋" w:eastAsia="仿宋_GB2312"/>
          <w:color w:val="FF0000"/>
          <w:sz w:val="32"/>
          <w:szCs w:val="32"/>
        </w:rPr>
        <w:t>完成预算100%，决算数等于预算数的主要原因是严格控制支出，实现收支平衡。</w:t>
      </w:r>
    </w:p>
    <w:p>
      <w:pPr>
        <w:spacing w:line="600" w:lineRule="exact"/>
        <w:ind w:firstLine="640"/>
        <w:outlineLvl w:val="2"/>
        <w:rPr>
          <w:rFonts w:ascii="楷体_GB2312" w:hAnsi="仿宋" w:eastAsia="楷体_GB2312"/>
          <w:color w:val="000000"/>
          <w:sz w:val="32"/>
          <w:szCs w:val="32"/>
        </w:rPr>
      </w:pPr>
      <w:bookmarkStart w:id="45" w:name="_Toc15377217"/>
      <w:r>
        <w:rPr>
          <w:rFonts w:hint="eastAsia" w:ascii="楷体_GB2312" w:hAnsi="仿宋" w:eastAsia="楷体_GB2312"/>
          <w:color w:val="000000"/>
          <w:sz w:val="32"/>
          <w:szCs w:val="32"/>
        </w:rPr>
        <w:t>（二）“三公”经费财政拨款支出决算具体情况说明</w:t>
      </w:r>
      <w:bookmarkEnd w:id="45"/>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2018年“三公”经费财政拨款支出决算中，因公出国（境）费支出决算0万元，占0%；公务用车购置及运行维护费支出决算7.92万元，占72.2%；公务接待费支出决算3.05万元，占27.8%。具体情况如下：</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（图8：“三公”经费财政拨款支出结构）（饼状图）</w:t>
      </w: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60" w:lineRule="exact"/>
        <w:ind w:firstLine="642" w:firstLineChars="200"/>
        <w:rPr>
          <w:rFonts w:ascii="仿宋_GB2312" w:hAnsi="仿宋" w:eastAsia="仿宋_GB2312"/>
          <w:color w:val="FF0000"/>
          <w:sz w:val="32"/>
          <w:szCs w:val="32"/>
        </w:rPr>
      </w:pPr>
      <w:r>
        <w:rPr>
          <w:rFonts w:hint="eastAsia" w:ascii="仿宋_GB2312" w:eastAsia="仿宋_GB2312"/>
          <w:b/>
          <w:color w:val="FF0000"/>
          <w:sz w:val="32"/>
          <w:szCs w:val="32"/>
        </w:rPr>
        <w:t>1.因公出国（境）经费支出</w:t>
      </w:r>
      <w:r>
        <w:rPr>
          <w:rFonts w:hint="eastAsia" w:ascii="仿宋_GB2312" w:eastAsia="仿宋_GB2312"/>
          <w:color w:val="FF0000"/>
          <w:sz w:val="32"/>
          <w:szCs w:val="32"/>
        </w:rPr>
        <w:t>0万元，</w:t>
      </w:r>
      <w:r>
        <w:rPr>
          <w:rStyle w:val="14"/>
          <w:rFonts w:hint="eastAsia" w:ascii="仿宋_GB2312" w:hAnsi="仿宋" w:eastAsia="仿宋_GB2312"/>
          <w:b w:val="0"/>
          <w:bCs/>
          <w:color w:val="FF0000"/>
          <w:sz w:val="32"/>
          <w:szCs w:val="32"/>
        </w:rPr>
        <w:t>年初无因公出国（境）经费预算。全年安排因公出国（境）团组0次，出国（境）0人。</w:t>
      </w:r>
      <w:r>
        <w:rPr>
          <w:rFonts w:hint="eastAsia" w:ascii="仿宋_GB2312" w:hAnsi="仿宋" w:eastAsia="仿宋_GB2312"/>
          <w:color w:val="FF0000"/>
          <w:sz w:val="32"/>
          <w:szCs w:val="32"/>
        </w:rPr>
        <w:t>较2017年支出数持平，主要原因是均无因公出国（境）事项</w:t>
      </w:r>
    </w:p>
    <w:p>
      <w:pPr>
        <w:spacing w:line="600" w:lineRule="exact"/>
        <w:ind w:firstLine="640"/>
        <w:rPr>
          <w:rFonts w:ascii="仿宋_GB2312" w:eastAsia="仿宋_GB2312"/>
          <w:b/>
          <w:color w:val="FF0000"/>
          <w:sz w:val="32"/>
          <w:szCs w:val="32"/>
        </w:rPr>
      </w:pP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7.92万元,</w:t>
      </w:r>
      <w:r>
        <w:rPr>
          <w:rStyle w:val="14"/>
          <w:rFonts w:hint="eastAsia" w:ascii="仿宋_GB2312" w:hAnsi="仿宋" w:eastAsia="仿宋_GB2312"/>
          <w:b w:val="0"/>
          <w:bCs/>
          <w:color w:val="000000"/>
          <w:sz w:val="32"/>
          <w:szCs w:val="32"/>
        </w:rPr>
        <w:t>完成预算</w:t>
      </w:r>
      <w:r>
        <w:rPr>
          <w:rStyle w:val="14"/>
          <w:rFonts w:hint="default" w:ascii="仿宋_GB2312" w:hAnsi="仿宋" w:eastAsia="仿宋_GB2312"/>
          <w:b w:val="0"/>
          <w:bCs/>
          <w:color w:val="000000"/>
          <w:sz w:val="32"/>
          <w:szCs w:val="32"/>
          <w:lang w:val="en"/>
        </w:rPr>
        <w:t>100</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公务用车购置及运行维护费支出决算比2017年减少1.19万元，下降13.06%。主要原因是反贪转出公务用车减少。</w:t>
      </w:r>
    </w:p>
    <w:p>
      <w:pPr>
        <w:spacing w:line="600" w:lineRule="exact"/>
        <w:ind w:firstLine="640" w:firstLineChars="200"/>
        <w:rPr>
          <w:rFonts w:ascii="仿宋_GB2312" w:eastAsia="仿宋_GB2312"/>
          <w:b/>
          <w:color w:val="FF0000"/>
          <w:sz w:val="32"/>
          <w:szCs w:val="32"/>
        </w:rPr>
      </w:pPr>
      <w:r>
        <w:rPr>
          <w:rFonts w:hint="eastAsia" w:ascii="仿宋_GB2312" w:eastAsia="仿宋_GB2312"/>
          <w:color w:val="FF0000"/>
          <w:sz w:val="32"/>
          <w:szCs w:val="32"/>
        </w:rPr>
        <w:t>其中：</w:t>
      </w:r>
      <w:r>
        <w:rPr>
          <w:rFonts w:hint="eastAsia" w:ascii="仿宋_GB2312" w:eastAsia="仿宋_GB2312"/>
          <w:b/>
          <w:color w:val="FF0000"/>
          <w:sz w:val="32"/>
          <w:szCs w:val="32"/>
        </w:rPr>
        <w:t>公务用车购置支出</w:t>
      </w:r>
      <w:r>
        <w:rPr>
          <w:rFonts w:hint="eastAsia" w:ascii="仿宋_GB2312" w:eastAsia="仿宋_GB2312"/>
          <w:color w:val="FF0000"/>
          <w:sz w:val="32"/>
          <w:szCs w:val="32"/>
        </w:rPr>
        <w:t>0万元。截至2018年12月底，单位共有公务用车5辆，其中：轿车4辆，小型客车1辆。</w:t>
      </w:r>
    </w:p>
    <w:p>
      <w:pPr>
        <w:spacing w:line="560" w:lineRule="exact"/>
        <w:ind w:firstLine="640"/>
        <w:rPr>
          <w:rFonts w:ascii="仿宋_GB2312" w:hAnsi="仿宋" w:eastAsia="仿宋_GB2312"/>
          <w:color w:val="FF0000"/>
          <w:sz w:val="32"/>
          <w:szCs w:val="32"/>
        </w:rPr>
      </w:pPr>
      <w:r>
        <w:rPr>
          <w:rFonts w:hint="eastAsia" w:ascii="仿宋_GB2312" w:eastAsia="仿宋_GB2312"/>
          <w:b/>
          <w:color w:val="FF0000"/>
          <w:sz w:val="32"/>
          <w:szCs w:val="32"/>
        </w:rPr>
        <w:t>公务用车运行维护费支出</w:t>
      </w:r>
      <w:r>
        <w:rPr>
          <w:rFonts w:hint="eastAsia" w:ascii="仿宋_GB2312" w:eastAsia="仿宋_GB2312"/>
          <w:color w:val="FF0000"/>
          <w:sz w:val="32"/>
          <w:szCs w:val="32"/>
        </w:rPr>
        <w:t>7.92万元。</w:t>
      </w:r>
      <w:r>
        <w:rPr>
          <w:rFonts w:hint="eastAsia" w:ascii="仿宋_GB2312" w:hAnsi="仿宋" w:eastAsia="仿宋_GB2312"/>
          <w:color w:val="FF0000"/>
          <w:sz w:val="32"/>
          <w:szCs w:val="32"/>
        </w:rPr>
        <w:t>主要用于办案、开庭、脱贫攻坚等工作所需的公务用车燃料费、维修费、过路过桥费、保险费等支出。</w:t>
      </w:r>
    </w:p>
    <w:p>
      <w:pPr>
        <w:spacing w:line="600" w:lineRule="exact"/>
        <w:ind w:firstLine="640"/>
        <w:rPr>
          <w:rFonts w:ascii="仿宋_GB2312" w:eastAsia="仿宋_GB2312"/>
          <w:color w:val="FF0000"/>
          <w:sz w:val="32"/>
          <w:szCs w:val="32"/>
        </w:rPr>
      </w:pPr>
      <w:r>
        <w:rPr>
          <w:rFonts w:hint="eastAsia" w:ascii="仿宋_GB2312" w:eastAsia="仿宋_GB2312"/>
          <w:b/>
          <w:color w:val="FF0000"/>
          <w:sz w:val="32"/>
          <w:szCs w:val="32"/>
        </w:rPr>
        <w:t>3.公务接待费支出</w:t>
      </w:r>
      <w:r>
        <w:rPr>
          <w:rFonts w:hint="eastAsia" w:ascii="仿宋_GB2312" w:eastAsia="仿宋_GB2312"/>
          <w:color w:val="FF0000"/>
          <w:sz w:val="32"/>
          <w:szCs w:val="32"/>
        </w:rPr>
        <w:t>3.05万元，</w:t>
      </w:r>
      <w:r>
        <w:rPr>
          <w:rStyle w:val="14"/>
          <w:rFonts w:hint="eastAsia" w:ascii="仿宋_GB2312" w:hAnsi="仿宋" w:eastAsia="仿宋_GB2312"/>
          <w:b w:val="0"/>
          <w:bCs/>
          <w:color w:val="FF0000"/>
          <w:sz w:val="32"/>
          <w:szCs w:val="32"/>
        </w:rPr>
        <w:t>完成预算</w:t>
      </w:r>
      <w:r>
        <w:rPr>
          <w:rStyle w:val="14"/>
          <w:rFonts w:hint="default" w:ascii="仿宋_GB2312" w:hAnsi="仿宋" w:eastAsia="仿宋_GB2312"/>
          <w:b w:val="0"/>
          <w:bCs/>
          <w:color w:val="FF0000"/>
          <w:sz w:val="32"/>
          <w:szCs w:val="32"/>
          <w:lang w:val="en"/>
        </w:rPr>
        <w:t>100</w:t>
      </w:r>
      <w:bookmarkStart w:id="76" w:name="_GoBack"/>
      <w:bookmarkEnd w:id="76"/>
      <w:r>
        <w:rPr>
          <w:rStyle w:val="14"/>
          <w:rFonts w:hint="eastAsia" w:ascii="仿宋_GB2312" w:hAnsi="仿宋" w:eastAsia="仿宋_GB2312"/>
          <w:b w:val="0"/>
          <w:bCs/>
          <w:color w:val="FF0000"/>
          <w:sz w:val="32"/>
          <w:szCs w:val="32"/>
        </w:rPr>
        <w:t>%。</w:t>
      </w:r>
      <w:r>
        <w:rPr>
          <w:rFonts w:hint="eastAsia" w:ascii="仿宋_GB2312" w:eastAsia="仿宋_GB2312"/>
          <w:color w:val="FF0000"/>
          <w:sz w:val="32"/>
          <w:szCs w:val="32"/>
        </w:rPr>
        <w:t>公务接待费支出决算比2017年减少0.46万元，下降13.11%。主要原因是本着厉行节约原则严格控制接待标准和次数。</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主要用于执行公务、开展业务活动开支的交通费、住宿费、用餐费等。国内公务接待37批次，280人次（不包括陪同人员），共计支出3.05万元，具体内容包括：</w:t>
      </w:r>
      <w:r>
        <w:rPr>
          <w:rFonts w:hint="eastAsia" w:ascii="仿宋_GB2312" w:hAnsi="仿宋" w:eastAsia="仿宋_GB2312"/>
          <w:color w:val="FF0000"/>
          <w:sz w:val="32"/>
          <w:szCs w:val="32"/>
        </w:rPr>
        <w:t>接待上级公务事务餐费</w:t>
      </w:r>
      <w:r>
        <w:rPr>
          <w:rFonts w:hint="eastAsia" w:ascii="仿宋_GB2312" w:eastAsia="仿宋_GB2312"/>
          <w:color w:val="FF0000"/>
          <w:sz w:val="32"/>
          <w:szCs w:val="32"/>
        </w:rPr>
        <w:t>。其中：</w:t>
      </w:r>
    </w:p>
    <w:p>
      <w:pPr>
        <w:spacing w:line="600" w:lineRule="exact"/>
        <w:ind w:firstLine="642" w:firstLineChars="200"/>
        <w:rPr>
          <w:rFonts w:ascii="仿宋_GB2312" w:eastAsia="仿宋_GB2312"/>
          <w:color w:val="000000" w:themeColor="text1"/>
          <w:sz w:val="32"/>
          <w:szCs w:val="32"/>
        </w:rPr>
      </w:pP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_GB2312" w:hAnsi="仿宋" w:eastAsia="仿宋_GB2312"/>
          <w:b/>
          <w:color w:val="000000"/>
          <w:sz w:val="32"/>
          <w:szCs w:val="32"/>
        </w:rPr>
        <w:t>其他国内公务接待支出</w:t>
      </w:r>
      <w:r>
        <w:rPr>
          <w:rFonts w:hint="eastAsia" w:ascii="仿宋_GB2312" w:hAnsi="仿宋" w:eastAsia="仿宋_GB2312"/>
          <w:color w:val="000000"/>
          <w:sz w:val="32"/>
          <w:szCs w:val="32"/>
        </w:rPr>
        <w:t>3.05</w:t>
      </w:r>
      <w:r>
        <w:rPr>
          <w:rFonts w:hint="eastAsia" w:ascii="仿宋_GB2312" w:eastAsia="仿宋_GB2312"/>
          <w:color w:val="000000"/>
          <w:sz w:val="32"/>
          <w:szCs w:val="32"/>
        </w:rPr>
        <w:t>万元，主要用于接待对象用餐支出。</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楷体_GB2312" w:hAnsi="仿宋" w:eastAsia="楷体_GB2312" w:cs="楷体_GB2312"/>
          <w:bCs/>
          <w:sz w:val="32"/>
          <w:szCs w:val="32"/>
        </w:rPr>
      </w:pPr>
      <w:r>
        <w:rPr>
          <w:rFonts w:hint="eastAsia" w:ascii="楷体_GB2312" w:hAnsi="仿宋" w:eastAsia="楷体_GB2312" w:cs="楷体_GB2312"/>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0项目开展了预算事前绩效评估，对0个项目编制了绩效目标，预算执行过程中，选取0个项目开展绩效监控，年终执行完毕后，对0个项目开展了绩效目标完成情况梳理填报。</w:t>
      </w:r>
    </w:p>
    <w:p>
      <w:pPr>
        <w:spacing w:line="560"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本部门按要求对2018年部门整体支出开展绩效自评，从评价情况来看财政资金使用规范，资金使用安全，提高了资金使用社会效应。</w:t>
      </w:r>
    </w:p>
    <w:p>
      <w:pPr>
        <w:spacing w:line="560" w:lineRule="exact"/>
        <w:ind w:firstLine="803" w:firstLineChars="250"/>
        <w:rPr>
          <w:rFonts w:ascii="楷体_GB2312" w:hAnsi="仿宋" w:eastAsia="楷体_GB2312" w:cs="楷体_GB2312"/>
          <w:bCs/>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 w:eastAsia="仿宋_GB2312"/>
          <w:color w:val="000000"/>
          <w:sz w:val="32"/>
          <w:szCs w:val="32"/>
        </w:rPr>
        <w:t>本部门无专项预算项目，因此未组织开展项目支出绩效评价。</w:t>
      </w:r>
    </w:p>
    <w:p>
      <w:pPr>
        <w:numPr>
          <w:ilvl w:val="0"/>
          <w:numId w:val="4"/>
        </w:numPr>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楷体_GB2312"/>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本部门按要求对2018年部门整体支出绩效评价情况开展自评，《雅安市名山区人民检察院2018年部门整体支出绩效评价报告》见附件。</w:t>
      </w:r>
    </w:p>
    <w:p>
      <w:pPr>
        <w:spacing w:line="560" w:lineRule="exact"/>
        <w:ind w:firstLine="800" w:firstLineChars="250"/>
        <w:rPr>
          <w:rFonts w:ascii="楷体_GB2312" w:hAnsi="仿宋" w:eastAsia="楷体_GB2312" w:cs="楷体_GB2312"/>
          <w:bCs/>
          <w:sz w:val="32"/>
          <w:szCs w:val="32"/>
        </w:rPr>
      </w:pPr>
      <w:r>
        <w:rPr>
          <w:rFonts w:hint="eastAsia" w:ascii="仿宋_GB2312" w:hAnsi="仿宋_GB2312" w:eastAsia="仿宋_GB2312" w:cs="仿宋_GB2312"/>
          <w:sz w:val="32"/>
          <w:szCs w:val="32"/>
        </w:rPr>
        <w:t>本部门无专项预算项目，</w:t>
      </w:r>
      <w:r>
        <w:rPr>
          <w:rFonts w:hint="eastAsia" w:ascii="仿宋_GB2312" w:hAnsi="仿宋" w:eastAsia="仿宋_GB2312"/>
          <w:color w:val="000000"/>
          <w:sz w:val="32"/>
          <w:szCs w:val="32"/>
        </w:rPr>
        <w:t>因此未组织开展项目支出绩效评价。</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楷体_GB2312" w:hAnsi="仿宋" w:eastAsia="楷体_GB2312"/>
          <w:color w:val="000000"/>
          <w:sz w:val="32"/>
          <w:szCs w:val="32"/>
        </w:rPr>
      </w:pPr>
      <w:bookmarkStart w:id="52" w:name="_Toc15377222"/>
      <w:r>
        <w:rPr>
          <w:rFonts w:hint="eastAsia" w:ascii="楷体_GB2312" w:hAnsi="仿宋" w:eastAsia="楷体_GB2312"/>
          <w:color w:val="000000"/>
          <w:sz w:val="32"/>
          <w:szCs w:val="32"/>
        </w:rPr>
        <w:t>（一）机关运行经费支出情况</w:t>
      </w:r>
      <w:bookmarkEnd w:id="52"/>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8年，检察院机关运行经费支出238.85万元，比</w:t>
      </w:r>
      <w:r>
        <w:rPr>
          <w:rFonts w:ascii="仿宋_GB2312" w:eastAsia="仿宋_GB2312"/>
          <w:color w:val="000000"/>
          <w:sz w:val="32"/>
          <w:szCs w:val="32"/>
        </w:rPr>
        <w:t>201</w:t>
      </w:r>
      <w:r>
        <w:rPr>
          <w:rFonts w:hint="eastAsia" w:ascii="仿宋_GB2312" w:eastAsia="仿宋_GB2312"/>
          <w:color w:val="000000"/>
          <w:sz w:val="32"/>
          <w:szCs w:val="32"/>
        </w:rPr>
        <w:t>7年减少13.84万元，下降5.48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主要原因是人员增减变动</w:t>
      </w:r>
      <w:r>
        <w:rPr>
          <w:rFonts w:hint="eastAsia" w:ascii="仿宋_GB2312" w:eastAsia="仿宋_GB2312"/>
          <w:color w:val="FF0000"/>
          <w:sz w:val="32"/>
          <w:szCs w:val="32"/>
        </w:rPr>
        <w:t>引起的人员经费和公用经费支出的减少。</w:t>
      </w:r>
    </w:p>
    <w:p>
      <w:pPr>
        <w:autoSpaceDE w:val="0"/>
        <w:autoSpaceDN w:val="0"/>
        <w:adjustRightInd w:val="0"/>
        <w:spacing w:line="600" w:lineRule="exact"/>
        <w:ind w:firstLine="640" w:firstLineChars="200"/>
        <w:jc w:val="left"/>
        <w:outlineLvl w:val="2"/>
        <w:rPr>
          <w:rFonts w:ascii="楷体_GB2312" w:hAnsi="仿宋" w:eastAsia="楷体_GB2312"/>
          <w:color w:val="000000"/>
          <w:sz w:val="32"/>
          <w:szCs w:val="32"/>
        </w:rPr>
      </w:pPr>
      <w:bookmarkStart w:id="53" w:name="_Toc15377223"/>
      <w:r>
        <w:rPr>
          <w:rFonts w:hint="eastAsia" w:ascii="楷体_GB2312" w:hAnsi="仿宋" w:eastAsia="楷体_GB2312"/>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8年，检察院政府采购支出总额39.36万元，其中：政府采购货物支出39.36万元、政府采购工程支出0万元、政府采购服务支出0万元。主要用于采购顶楼会议室。授予中小企业合同金额0万元，占政府采购支出总额的0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，其中：授予小微企业合同金额39.36万元，占政府采购支出总额的100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楷体_GB2312" w:hAnsi="仿宋" w:eastAsia="楷体_GB2312"/>
          <w:color w:val="000000"/>
          <w:sz w:val="32"/>
          <w:szCs w:val="32"/>
        </w:rPr>
      </w:pPr>
      <w:bookmarkStart w:id="54" w:name="_Toc15377224"/>
      <w:r>
        <w:rPr>
          <w:rFonts w:hint="eastAsia" w:ascii="楷体_GB2312" w:hAnsi="仿宋" w:eastAsia="楷体_GB2312"/>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日，检察院共有车辆5辆，其中：一般执法执勤用车5辆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24"/>
          <w:rFonts w:ascii="黑体" w:hAnsi="黑体" w:eastAsia="黑体"/>
          <w:b w:val="0"/>
          <w:color w:val="FF0000"/>
        </w:rPr>
      </w:pPr>
      <w:bookmarkStart w:id="55" w:name="_Toc15377225"/>
      <w:bookmarkStart w:id="56" w:name="_Toc15396613"/>
      <w:r>
        <w:rPr>
          <w:rFonts w:hint="eastAsia" w:ascii="黑体" w:hAnsi="黑体" w:eastAsia="黑体"/>
          <w:b/>
          <w:color w:val="FF0000"/>
          <w:sz w:val="44"/>
          <w:szCs w:val="44"/>
        </w:rPr>
        <w:t>名</w:t>
      </w:r>
      <w:r>
        <w:rPr>
          <w:rStyle w:val="24"/>
          <w:rFonts w:hint="eastAsia" w:ascii="黑体" w:hAnsi="黑体" w:eastAsia="黑体"/>
          <w:b w:val="0"/>
          <w:color w:val="FF0000"/>
        </w:rPr>
        <w:t>词解释</w:t>
      </w:r>
      <w:bookmarkEnd w:id="55"/>
      <w:bookmarkEnd w:id="56"/>
    </w:p>
    <w:p>
      <w:pPr>
        <w:spacing w:line="600" w:lineRule="exact"/>
        <w:jc w:val="left"/>
        <w:rPr>
          <w:rFonts w:ascii="宋体"/>
          <w:b/>
          <w:color w:val="FF0000"/>
          <w:sz w:val="44"/>
          <w:szCs w:val="44"/>
        </w:rPr>
      </w:pPr>
    </w:p>
    <w:p>
      <w:pPr>
        <w:pStyle w:val="22"/>
        <w:spacing w:line="560" w:lineRule="exact"/>
        <w:ind w:firstLine="640" w:firstLineChars="200"/>
        <w:rPr>
          <w:rFonts w:ascii="仿宋_GB2312" w:eastAsia="仿宋_GB2312"/>
          <w:color w:val="FF0000"/>
          <w:sz w:val="32"/>
          <w:szCs w:val="32"/>
        </w:rPr>
      </w:pPr>
      <w:r>
        <w:rPr>
          <w:rFonts w:ascii="仿宋_GB2312" w:eastAsia="仿宋_GB2312"/>
          <w:color w:val="FF0000"/>
          <w:sz w:val="32"/>
          <w:szCs w:val="32"/>
        </w:rPr>
        <w:t>1.</w:t>
      </w:r>
      <w:r>
        <w:rPr>
          <w:rFonts w:hint="eastAsia" w:ascii="仿宋_GB2312" w:eastAsia="仿宋_GB2312"/>
          <w:color w:val="FF0000"/>
          <w:sz w:val="32"/>
          <w:szCs w:val="32"/>
        </w:rPr>
        <w:t>财政拨款收入：指单位从同级财政部门取得的财政预算资金。</w:t>
      </w:r>
    </w:p>
    <w:p>
      <w:pPr>
        <w:pStyle w:val="22"/>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2</w:t>
      </w:r>
      <w:r>
        <w:rPr>
          <w:rFonts w:ascii="仿宋_GB2312" w:eastAsia="仿宋_GB2312"/>
          <w:color w:val="FF0000"/>
          <w:sz w:val="32"/>
          <w:szCs w:val="32"/>
        </w:rPr>
        <w:t>.</w:t>
      </w:r>
      <w:r>
        <w:rPr>
          <w:rFonts w:hint="eastAsia" w:ascii="仿宋_GB2312" w:eastAsia="仿宋_GB2312"/>
          <w:color w:val="FF0000"/>
          <w:sz w:val="32"/>
          <w:szCs w:val="32"/>
        </w:rPr>
        <w:t>其他收入：指单位取得的除上述收入以外的各项收入。主要是利息收入等。</w:t>
      </w:r>
      <w:r>
        <w:rPr>
          <w:rFonts w:ascii="仿宋_GB2312" w:eastAsia="仿宋_GB2312"/>
          <w:color w:val="FF0000"/>
          <w:sz w:val="32"/>
          <w:szCs w:val="32"/>
        </w:rPr>
        <w:t xml:space="preserve"> </w:t>
      </w:r>
    </w:p>
    <w:p>
      <w:pPr>
        <w:pStyle w:val="22"/>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3</w:t>
      </w:r>
      <w:r>
        <w:rPr>
          <w:rFonts w:ascii="仿宋_GB2312" w:eastAsia="仿宋_GB2312"/>
          <w:color w:val="FF0000"/>
          <w:sz w:val="32"/>
          <w:szCs w:val="32"/>
        </w:rPr>
        <w:t>.</w:t>
      </w:r>
      <w:r>
        <w:rPr>
          <w:rFonts w:hint="eastAsia" w:ascii="仿宋_GB2312" w:eastAsia="仿宋_GB2312"/>
          <w:color w:val="FF0000"/>
          <w:sz w:val="32"/>
          <w:szCs w:val="32"/>
        </w:rPr>
        <w:t>年初结转和结余：指以前年度尚未完成、结转到本年按有关规定继续使用的资金。</w:t>
      </w:r>
      <w:r>
        <w:rPr>
          <w:rFonts w:ascii="仿宋_GB2312" w:eastAsia="仿宋_GB2312"/>
          <w:color w:val="FF0000"/>
          <w:sz w:val="32"/>
          <w:szCs w:val="32"/>
        </w:rPr>
        <w:t xml:space="preserve"> </w:t>
      </w:r>
    </w:p>
    <w:p>
      <w:pPr>
        <w:pStyle w:val="22"/>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4、年末结转和结余：指单位按有关规定结转到下年或以后年度继续使用的资金。</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5</w:t>
      </w:r>
      <w:r>
        <w:rPr>
          <w:rFonts w:ascii="仿宋_GB2312" w:eastAsia="仿宋_GB2312"/>
          <w:color w:val="FF0000"/>
          <w:sz w:val="32"/>
          <w:szCs w:val="32"/>
        </w:rPr>
        <w:t>.</w:t>
      </w:r>
      <w:r>
        <w:rPr>
          <w:rFonts w:hint="eastAsia" w:ascii="仿宋_GB2312" w:eastAsia="仿宋_GB2312"/>
          <w:color w:val="FF0000"/>
          <w:sz w:val="32"/>
          <w:szCs w:val="32"/>
        </w:rPr>
        <w:t>公共安全（类）检察（款）行政运行（项）：指行政单位为保障正常运行、开展日常工作等的基本支出。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6</w:t>
      </w:r>
      <w:r>
        <w:rPr>
          <w:rFonts w:ascii="仿宋_GB2312" w:eastAsia="仿宋_GB2312"/>
          <w:color w:val="FF0000"/>
          <w:sz w:val="32"/>
          <w:szCs w:val="32"/>
        </w:rPr>
        <w:t>.</w:t>
      </w:r>
      <w:r>
        <w:rPr>
          <w:rFonts w:hint="eastAsia" w:ascii="仿宋_GB2312" w:eastAsia="仿宋_GB2312"/>
          <w:color w:val="FF0000"/>
          <w:sz w:val="32"/>
          <w:szCs w:val="32"/>
        </w:rPr>
        <w:t>社会保障和就业（类）行政事业单位离退休（款）机关事业单位基本养老保险缴费支出（项）：指反映机关事业单位实施养老保险制度由单位缴纳的基本养老保险支出。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7</w:t>
      </w:r>
      <w:r>
        <w:rPr>
          <w:rFonts w:ascii="仿宋_GB2312" w:eastAsia="仿宋_GB2312"/>
          <w:color w:val="FF0000"/>
          <w:sz w:val="32"/>
          <w:szCs w:val="32"/>
        </w:rPr>
        <w:t>.</w:t>
      </w:r>
      <w:r>
        <w:rPr>
          <w:rFonts w:hint="eastAsia" w:ascii="仿宋_GB2312" w:eastAsia="仿宋_GB2312"/>
          <w:color w:val="FF0000"/>
          <w:sz w:val="32"/>
          <w:szCs w:val="32"/>
        </w:rPr>
        <w:t>社会保障和就业（类）行政事业单位离退休（款）归口管理的行政单位离退休（项）：指反映实行归口管理的行政单位开支的离退休支出。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8</w:t>
      </w:r>
      <w:r>
        <w:rPr>
          <w:rFonts w:ascii="仿宋_GB2312" w:eastAsia="仿宋_GB2312"/>
          <w:color w:val="FF0000"/>
          <w:sz w:val="32"/>
          <w:szCs w:val="32"/>
        </w:rPr>
        <w:t>.</w:t>
      </w:r>
      <w:r>
        <w:rPr>
          <w:rFonts w:hint="eastAsia" w:ascii="仿宋_GB2312" w:eastAsia="仿宋_GB2312"/>
          <w:color w:val="FF0000"/>
          <w:sz w:val="32"/>
          <w:szCs w:val="32"/>
        </w:rPr>
        <w:t>医疗卫生与计划生育（类）行政单位医疗（款）行政单位医疗（项）：指反映财政部门集中安排的行政单位基本医疗保险缴费经费。</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9. 医疗卫生与计划生育（类）行政单位医疗（款）公务员医疗补助（项）：指反映财政部门集中安排的公务员医疗补助经费。</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10.卫生健康支出（类）行政事业单位医疗（款）其他行政事业单位医疗支出（项）：指反映其他用于行政事业单位医疗方面的支出。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11</w:t>
      </w:r>
      <w:r>
        <w:rPr>
          <w:rFonts w:ascii="仿宋_GB2312" w:eastAsia="仿宋_GB2312"/>
          <w:color w:val="FF0000"/>
          <w:sz w:val="32"/>
          <w:szCs w:val="32"/>
        </w:rPr>
        <w:t>.</w:t>
      </w:r>
      <w:r>
        <w:rPr>
          <w:rFonts w:hint="eastAsia" w:ascii="仿宋_GB2312" w:eastAsia="仿宋_GB2312"/>
          <w:color w:val="FF0000"/>
          <w:sz w:val="32"/>
          <w:szCs w:val="32"/>
        </w:rPr>
        <w:t>基本支出：指为保障机构正常运转、完成日常工作任务而发生的人员支出和公用支出。</w:t>
      </w:r>
    </w:p>
    <w:p>
      <w:pPr>
        <w:pStyle w:val="22"/>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12</w:t>
      </w:r>
      <w:r>
        <w:rPr>
          <w:rFonts w:ascii="仿宋_GB2312" w:eastAsia="仿宋_GB2312"/>
          <w:color w:val="FF0000"/>
          <w:sz w:val="32"/>
          <w:szCs w:val="32"/>
        </w:rPr>
        <w:t>.</w:t>
      </w:r>
      <w:r>
        <w:rPr>
          <w:rFonts w:hint="eastAsia" w:ascii="仿宋_GB2312" w:eastAsia="仿宋_GB2312"/>
          <w:color w:val="FF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13</w:t>
      </w:r>
      <w:r>
        <w:rPr>
          <w:rFonts w:ascii="仿宋_GB2312" w:eastAsia="仿宋_GB2312"/>
          <w:color w:val="FF0000"/>
          <w:sz w:val="32"/>
          <w:szCs w:val="32"/>
        </w:rPr>
        <w:t>.</w:t>
      </w:r>
      <w:r>
        <w:rPr>
          <w:rFonts w:hint="eastAsia" w:ascii="仿宋_GB2312" w:eastAsia="仿宋_GB2312"/>
          <w:color w:val="FF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56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雅安市名山区人民检察院</w:t>
      </w:r>
    </w:p>
    <w:p>
      <w:pPr>
        <w:spacing w:line="56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2018 年度，纳入本部门决算汇编范围的独立核算单位共1个，无增减。单位机关内设机构为院研究室、案管中心、院办公室、政治处、民行科、控申科、侦监科、刑事执行监察局、公诉科、技术科、法警大队共11个内设机构，当年变动4个，其中三个转隶到监察委撤销，纪检组转为派驻。</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widowControl/>
        <w:spacing w:line="560" w:lineRule="exact"/>
        <w:ind w:firstLine="800" w:firstLineChars="25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名山区检察院主要职能是：</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1、对雅安市名山区人民代表大会及其常务委员会负责并报告工作，接受雅安市名山区人民代表大会及其常务委员会的监督，接受上级检察院的领导。</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2、贯彻检察工作方针，部署检察工作任务。</w:t>
      </w:r>
    </w:p>
    <w:p>
      <w:pPr>
        <w:spacing w:line="560" w:lineRule="exact"/>
        <w:ind w:firstLine="640" w:firstLineChars="200"/>
        <w:rPr>
          <w:rFonts w:ascii="仿宋_GB2312" w:hAnsi="MS Gothic" w:eastAsia="仿宋_GB2312"/>
          <w:color w:val="FF0000"/>
          <w:sz w:val="32"/>
          <w:szCs w:val="32"/>
        </w:rPr>
      </w:pPr>
      <w:r>
        <w:rPr>
          <w:rFonts w:hint="eastAsia" w:ascii="仿宋_GB2312" w:eastAsia="仿宋_GB2312" w:cs="仿宋_GB2312"/>
          <w:color w:val="FF0000"/>
          <w:sz w:val="32"/>
          <w:szCs w:val="32"/>
        </w:rPr>
        <w:t>3、负责对</w:t>
      </w:r>
      <w:r>
        <w:rPr>
          <w:rFonts w:hint="eastAsia" w:ascii="仿宋_GB2312" w:hAnsi="MS Gothic" w:eastAsia="仿宋_GB2312" w:cs="仿宋_GB2312"/>
          <w:color w:val="FF0000"/>
          <w:sz w:val="32"/>
          <w:szCs w:val="32"/>
        </w:rPr>
        <w:t>法律</w:t>
      </w:r>
      <w:r>
        <w:rPr>
          <w:rFonts w:hint="eastAsia" w:ascii="仿宋_GB2312" w:eastAsia="仿宋_GB2312" w:cs="仿宋_GB2312"/>
          <w:color w:val="FF0000"/>
          <w:sz w:val="32"/>
          <w:szCs w:val="32"/>
        </w:rPr>
        <w:t>规</w:t>
      </w:r>
      <w:r>
        <w:rPr>
          <w:rFonts w:hint="eastAsia" w:ascii="仿宋_GB2312" w:hAnsi="MS Gothic" w:eastAsia="仿宋_GB2312" w:cs="仿宋_GB2312"/>
          <w:color w:val="FF0000"/>
          <w:sz w:val="32"/>
          <w:szCs w:val="32"/>
        </w:rPr>
        <w:t>定由本院</w:t>
      </w:r>
      <w:r>
        <w:rPr>
          <w:rFonts w:hint="eastAsia" w:ascii="仿宋_GB2312" w:eastAsia="仿宋_GB2312" w:cs="仿宋_GB2312"/>
          <w:color w:val="FF0000"/>
          <w:sz w:val="32"/>
          <w:szCs w:val="32"/>
        </w:rPr>
        <w:t>办</w:t>
      </w:r>
      <w:r>
        <w:rPr>
          <w:rFonts w:hint="eastAsia" w:ascii="仿宋_GB2312" w:hAnsi="MS Gothic" w:eastAsia="仿宋_GB2312" w:cs="仿宋_GB2312"/>
          <w:color w:val="FF0000"/>
          <w:sz w:val="32"/>
          <w:szCs w:val="32"/>
        </w:rPr>
        <w:t>理的刑事案件依法</w:t>
      </w:r>
      <w:r>
        <w:rPr>
          <w:rFonts w:hint="eastAsia" w:ascii="仿宋_GB2312" w:eastAsia="仿宋_GB2312" w:cs="仿宋_GB2312"/>
          <w:color w:val="FF0000"/>
          <w:sz w:val="32"/>
          <w:szCs w:val="32"/>
        </w:rPr>
        <w:t>审查</w:t>
      </w:r>
      <w:r>
        <w:rPr>
          <w:rFonts w:hint="eastAsia" w:ascii="仿宋_GB2312" w:hAnsi="MS Gothic" w:eastAsia="仿宋_GB2312" w:cs="仿宋_GB2312"/>
          <w:color w:val="FF0000"/>
          <w:sz w:val="32"/>
          <w:szCs w:val="32"/>
        </w:rPr>
        <w:t>批捕、</w:t>
      </w:r>
      <w:r>
        <w:rPr>
          <w:rFonts w:hint="eastAsia" w:ascii="仿宋_GB2312" w:eastAsia="仿宋_GB2312" w:cs="仿宋_GB2312"/>
          <w:color w:val="FF0000"/>
          <w:sz w:val="32"/>
          <w:szCs w:val="32"/>
        </w:rPr>
        <w:t>审查</w:t>
      </w:r>
      <w:r>
        <w:rPr>
          <w:rFonts w:hint="eastAsia" w:ascii="仿宋_GB2312" w:hAnsi="MS Gothic" w:eastAsia="仿宋_GB2312" w:cs="仿宋_GB2312"/>
          <w:color w:val="FF0000"/>
          <w:sz w:val="32"/>
          <w:szCs w:val="32"/>
        </w:rPr>
        <w:t>起</w:t>
      </w:r>
      <w:r>
        <w:rPr>
          <w:rFonts w:hint="eastAsia" w:ascii="仿宋_GB2312" w:eastAsia="仿宋_GB2312" w:cs="仿宋_GB2312"/>
          <w:color w:val="FF0000"/>
          <w:sz w:val="32"/>
          <w:szCs w:val="32"/>
        </w:rPr>
        <w:t>诉</w:t>
      </w:r>
      <w:r>
        <w:rPr>
          <w:rFonts w:hint="eastAsia" w:ascii="仿宋_GB2312" w:hAnsi="MS Gothic" w:eastAsia="仿宋_GB2312" w:cs="仿宋_GB2312"/>
          <w:color w:val="FF0000"/>
          <w:sz w:val="32"/>
          <w:szCs w:val="32"/>
        </w:rPr>
        <w:t>、出庭支持公</w:t>
      </w:r>
      <w:r>
        <w:rPr>
          <w:rFonts w:hint="eastAsia" w:ascii="仿宋_GB2312" w:eastAsia="仿宋_GB2312" w:cs="仿宋_GB2312"/>
          <w:color w:val="FF0000"/>
          <w:sz w:val="32"/>
          <w:szCs w:val="32"/>
        </w:rPr>
        <w:t>诉</w:t>
      </w:r>
      <w:r>
        <w:rPr>
          <w:rFonts w:hint="eastAsia" w:ascii="仿宋_GB2312" w:hAnsi="MS Gothic" w:eastAsia="仿宋_GB2312" w:cs="仿宋_GB2312"/>
          <w:color w:val="FF0000"/>
          <w:sz w:val="32"/>
          <w:szCs w:val="32"/>
        </w:rPr>
        <w:t>。开展未成年人司法保护和预防未成年人犯罪工作。</w:t>
      </w:r>
    </w:p>
    <w:p>
      <w:pPr>
        <w:spacing w:line="560" w:lineRule="exact"/>
        <w:ind w:firstLine="640" w:firstLineChars="200"/>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4、依法开展民事诉讼、行政诉讼和刑罚执行活动的法律监督工作。</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仿宋" w:eastAsia="仿宋_GB2312"/>
          <w:bCs/>
          <w:color w:val="FF0000"/>
          <w:kern w:val="0"/>
          <w:sz w:val="32"/>
          <w:szCs w:val="32"/>
        </w:rPr>
        <w:t>5、对于人民法院的民事审判活动实行法律监督，对人民法院已经发生效力的判决、裁定，发现违反法律、法规规定的，依法提出抗诉。</w:t>
      </w:r>
    </w:p>
    <w:p>
      <w:pPr>
        <w:widowControl/>
        <w:spacing w:line="560" w:lineRule="exact"/>
        <w:ind w:firstLine="640" w:firstLineChars="200"/>
        <w:jc w:val="left"/>
        <w:rPr>
          <w:rFonts w:ascii="仿宋_GB2312" w:hAnsi="仿宋" w:eastAsia="仿宋_GB2312"/>
          <w:bCs/>
          <w:color w:val="FF0000"/>
          <w:kern w:val="0"/>
          <w:sz w:val="32"/>
          <w:szCs w:val="32"/>
        </w:rPr>
      </w:pPr>
      <w:r>
        <w:rPr>
          <w:rFonts w:hint="eastAsia" w:ascii="仿宋_GB2312" w:hAnsi="宋体" w:eastAsia="仿宋_GB2312" w:cs="仿宋_GB2312"/>
          <w:color w:val="FF0000"/>
          <w:kern w:val="0"/>
          <w:sz w:val="32"/>
          <w:szCs w:val="32"/>
        </w:rPr>
        <w:t>6、负责</w:t>
      </w:r>
      <w:r>
        <w:rPr>
          <w:rFonts w:hint="eastAsia" w:ascii="仿宋_GB2312" w:hAnsi="MS Gothic" w:eastAsia="仿宋_GB2312" w:cs="仿宋_GB2312"/>
          <w:color w:val="FF0000"/>
          <w:kern w:val="0"/>
          <w:sz w:val="32"/>
          <w:szCs w:val="32"/>
        </w:rPr>
        <w:t>受理控告、申</w:t>
      </w:r>
      <w:r>
        <w:rPr>
          <w:rFonts w:hint="eastAsia" w:ascii="仿宋_GB2312" w:hAnsi="宋体" w:eastAsia="仿宋_GB2312" w:cs="仿宋_GB2312"/>
          <w:color w:val="FF0000"/>
          <w:kern w:val="0"/>
          <w:sz w:val="32"/>
          <w:szCs w:val="32"/>
        </w:rPr>
        <w:t>诉和检举</w:t>
      </w:r>
      <w:r>
        <w:rPr>
          <w:rFonts w:hint="eastAsia" w:ascii="仿宋_GB2312" w:hAnsi="MS Gothic" w:eastAsia="仿宋_GB2312" w:cs="仿宋_GB2312"/>
          <w:color w:val="FF0000"/>
          <w:kern w:val="0"/>
          <w:sz w:val="32"/>
          <w:szCs w:val="32"/>
        </w:rPr>
        <w:t>。承</w:t>
      </w:r>
      <w:r>
        <w:rPr>
          <w:rFonts w:hint="eastAsia" w:ascii="仿宋_GB2312" w:hAnsi="宋体" w:eastAsia="仿宋_GB2312" w:cs="仿宋_GB2312"/>
          <w:color w:val="FF0000"/>
          <w:kern w:val="0"/>
          <w:sz w:val="32"/>
          <w:szCs w:val="32"/>
        </w:rPr>
        <w:t>办</w:t>
      </w:r>
      <w:r>
        <w:rPr>
          <w:rFonts w:hint="eastAsia" w:ascii="仿宋_GB2312" w:hAnsi="MS Gothic" w:eastAsia="仿宋_GB2312" w:cs="仿宋_GB2312"/>
          <w:color w:val="FF0000"/>
          <w:kern w:val="0"/>
          <w:sz w:val="32"/>
          <w:szCs w:val="32"/>
        </w:rPr>
        <w:t>本院管</w:t>
      </w:r>
      <w:r>
        <w:rPr>
          <w:rFonts w:hint="eastAsia" w:ascii="仿宋_GB2312" w:hAnsi="宋体" w:eastAsia="仿宋_GB2312" w:cs="仿宋_GB2312"/>
          <w:color w:val="FF0000"/>
          <w:kern w:val="0"/>
          <w:sz w:val="32"/>
          <w:szCs w:val="32"/>
        </w:rPr>
        <w:t>辖</w:t>
      </w:r>
      <w:r>
        <w:rPr>
          <w:rFonts w:hint="eastAsia" w:ascii="仿宋_GB2312" w:hAnsi="MS Gothic" w:eastAsia="仿宋_GB2312" w:cs="仿宋_GB2312"/>
          <w:color w:val="FF0000"/>
          <w:kern w:val="0"/>
          <w:sz w:val="32"/>
          <w:szCs w:val="32"/>
        </w:rPr>
        <w:t>的国家赔偿案件和国家司法救助案件。</w:t>
      </w:r>
    </w:p>
    <w:p>
      <w:pPr>
        <w:pStyle w:val="5"/>
        <w:adjustRightInd w:val="0"/>
        <w:snapToGrid w:val="0"/>
        <w:spacing w:before="93" w:line="600" w:lineRule="exact"/>
        <w:ind w:firstLine="640" w:firstLineChars="200"/>
        <w:outlineLvl w:val="2"/>
        <w:rPr>
          <w:rFonts w:hAnsi="MS Gothic" w:cs="仿宋_GB2312"/>
          <w:color w:val="FF0000"/>
          <w:sz w:val="32"/>
          <w:szCs w:val="32"/>
        </w:rPr>
      </w:pPr>
      <w:r>
        <w:rPr>
          <w:rFonts w:hint="eastAsia" w:hAnsi="仿宋"/>
          <w:bCs/>
          <w:color w:val="FF0000"/>
          <w:sz w:val="32"/>
          <w:szCs w:val="32"/>
        </w:rPr>
        <w:t>7、</w:t>
      </w:r>
      <w:r>
        <w:rPr>
          <w:rFonts w:hint="eastAsia" w:hAnsi="MS Gothic" w:cs="仿宋_GB2312"/>
          <w:color w:val="FF0000"/>
          <w:sz w:val="32"/>
          <w:szCs w:val="32"/>
        </w:rPr>
        <w:t>负责法律政策研究工作。</w:t>
      </w:r>
    </w:p>
    <w:p>
      <w:pPr>
        <w:pStyle w:val="5"/>
        <w:adjustRightInd w:val="0"/>
        <w:snapToGrid w:val="0"/>
        <w:spacing w:before="93" w:line="600" w:lineRule="exact"/>
        <w:ind w:firstLine="640" w:firstLineChars="200"/>
        <w:outlineLvl w:val="2"/>
        <w:rPr>
          <w:rFonts w:hAnsi="MS Gothic" w:cs="仿宋_GB2312"/>
          <w:color w:val="FF0000"/>
          <w:sz w:val="32"/>
          <w:szCs w:val="32"/>
        </w:rPr>
      </w:pPr>
      <w:r>
        <w:rPr>
          <w:rFonts w:hint="eastAsia" w:hAnsi="MS Gothic" w:cs="仿宋_GB2312"/>
          <w:color w:val="FF0000"/>
          <w:sz w:val="32"/>
          <w:szCs w:val="32"/>
        </w:rPr>
        <w:t>8、管理检察官，抓好干警思想政治工作和队伍建设工作，加强教育培训工作。</w:t>
      </w:r>
    </w:p>
    <w:p>
      <w:pPr>
        <w:pStyle w:val="5"/>
        <w:adjustRightInd w:val="0"/>
        <w:snapToGrid w:val="0"/>
        <w:spacing w:before="93" w:line="600" w:lineRule="exact"/>
        <w:ind w:firstLine="640" w:firstLineChars="200"/>
        <w:outlineLvl w:val="2"/>
        <w:rPr>
          <w:rFonts w:hAnsi="MS Gothic" w:cs="仿宋_GB2312"/>
          <w:color w:val="FF0000"/>
          <w:sz w:val="32"/>
          <w:szCs w:val="32"/>
        </w:rPr>
      </w:pPr>
      <w:r>
        <w:rPr>
          <w:rFonts w:hint="eastAsia" w:hAnsi="MS Gothic" w:cs="仿宋_GB2312"/>
          <w:color w:val="FF0000"/>
          <w:sz w:val="32"/>
          <w:szCs w:val="32"/>
        </w:rPr>
        <w:t>9、规划和管理本院的财务、装备、档案等工作。</w:t>
      </w:r>
    </w:p>
    <w:p>
      <w:pPr>
        <w:pStyle w:val="5"/>
        <w:adjustRightInd w:val="0"/>
        <w:snapToGrid w:val="0"/>
        <w:spacing w:before="93" w:line="600" w:lineRule="exact"/>
        <w:ind w:firstLine="640" w:firstLineChars="200"/>
        <w:outlineLvl w:val="2"/>
        <w:rPr>
          <w:rFonts w:ascii="仿宋" w:hAnsi="仿宋" w:eastAsia="仿宋"/>
          <w:bCs/>
          <w:color w:val="FF0000"/>
          <w:sz w:val="32"/>
          <w:szCs w:val="32"/>
        </w:rPr>
      </w:pPr>
      <w:r>
        <w:rPr>
          <w:rFonts w:hint="eastAsia" w:hAnsi="MS Gothic" w:cs="仿宋_GB2312"/>
          <w:color w:val="FF0000"/>
          <w:sz w:val="32"/>
          <w:szCs w:val="32"/>
        </w:rPr>
        <w:t>10、负责其他应当由名山区检察院承办的事项。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检察院总编制38人,实有在职在编43人，其中:机关行政编制32人,实有人数38人（其中：行政工勤编制2人，实有人数1人）；其他事业编制4人，在职实有人数4人。离休人员0 人，退休人员0人。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2018年部门年初预算数收入为461.41万元，年初预算支出数为461.41万元，上年同期数为438.24万元，增加了23.17万元，是由于人员增减变动引起。在年度执行中预算收入调整为647.79万元，调整原因是由于办案经费增加。</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2018年总支出647.79万元，其中工资福利支出405.13，占总支出的62.54%，商品和服务支出239.05，占总支出的36.9%，对其他个人和家庭补助支出3.61，占总支出的0.56%。</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60" w:lineRule="exact"/>
        <w:ind w:firstLine="640" w:firstLineChars="200"/>
        <w:rPr>
          <w:rFonts w:ascii="仿宋_GB2312" w:hAnsi="仿宋" w:eastAsia="仿宋_GB2312" w:cs="仿宋"/>
          <w:color w:val="000000"/>
          <w:sz w:val="32"/>
          <w:szCs w:val="32"/>
        </w:rPr>
      </w:pPr>
      <w:r>
        <w:rPr>
          <w:rFonts w:hint="eastAsia" w:ascii="仿宋_GB2312" w:eastAsia="仿宋_GB2312"/>
          <w:sz w:val="32"/>
          <w:szCs w:val="32"/>
        </w:rPr>
        <w:t>严格按照区财政局文件要求，实行“二上二下”的编报流</w:t>
      </w:r>
      <w:r>
        <w:rPr>
          <w:rFonts w:hint="eastAsia" w:ascii="仿宋_GB2312" w:hAnsi="仿宋" w:eastAsia="仿宋_GB2312" w:cs="仿宋"/>
          <w:color w:val="000000"/>
          <w:sz w:val="32"/>
          <w:szCs w:val="32"/>
        </w:rPr>
        <w:t>程，按照时间节点，及时上报部门预算建议草案，根据行财股初审后下达预算控制数，重新修改上报预算草案文本和部门预算软件编报预算上报数据，及时完成预算编报工作。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s="仿宋_GB2312"/>
          <w:sz w:val="32"/>
          <w:szCs w:val="32"/>
        </w:rPr>
        <w:t>结果应用情况</w:t>
      </w:r>
      <w:r>
        <w:rPr>
          <w:rFonts w:ascii="仿宋" w:hAnsi="仿宋" w:eastAsia="仿宋" w:cs="仿宋_GB2312"/>
          <w:sz w:val="32"/>
          <w:szCs w:val="32"/>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按照2018年部门整体支出绩效评价要求，对各项指标逐一评价，自评结果为“优”。并严格按照区财政局要求，在规定时限内及时在名山区政府网站进行预决算公开。</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社会公众满意度。全院上下全体干警切实转变工作作风，办事更积极，态度更热情，社会满意率达到百分之九十五以上。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预算安排的基本支出保障了正常的工作运转，预算安排的项目支出在执行上是严格遵守各项财经纪律的，项目资金的使用上是放心的，严守了法律底线、纪律底线、道德底线。</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预算执行存在偏差。由于年初预算安排经费不足，本年度许多专项工作需要申请追加预算，导致实际经费支出高于年初预算，预算编制与实际情况存在偏差，预算控制有待进一步提高。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科学合理编制预算。建议按照《中华人民共和国预算法》的规定及本部门规划，结合上年度预算执行情况和本年度预算收支变化因素，科学、合理的编制预算，避免出现预算与实际执行出现较大偏差情况，进一步提高单位预算执行力度。</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2.进一步完善管理制度。进一步贯彻落实中央、省、市有关文件精神，加强管理，厉行节约，严控“三公”经费等公务支出。</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3.进一步加强资产管理。加强固定资产管理，及时登记、更新资产台账，及时进行资产清理， 确保资产账实相符。</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4.加强财务管理，严格财务审核。在费用报账支付时，按照预算规定的费用项目和用途进行资金使用审核、列报支付、财务核算，杜绝超支现象的发生。</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Times">
    <w:altName w:val="Nimbus Roman No9 L"/>
    <w:panose1 w:val="02020603050405020304"/>
    <w:charset w:val="00"/>
    <w:family w:val="roman"/>
    <w:pitch w:val="default"/>
    <w:sig w:usb0="00000000" w:usb1="00000000" w:usb2="00000008" w:usb3="00000000" w:csb0="0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S Gothic">
    <w:altName w:val="方正书宋_GBK"/>
    <w:panose1 w:val="020B0609070205080204"/>
    <w:charset w:val="80"/>
    <w:family w:val="modern"/>
    <w:pitch w:val="default"/>
    <w:sig w:usb0="00000000" w:usb1="00000000" w:usb2="00000010" w:usb3="00000000" w:csb0="0002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val="0"/>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B1A"/>
    <w:rsid w:val="00012B35"/>
    <w:rsid w:val="0001304F"/>
    <w:rsid w:val="000222C6"/>
    <w:rsid w:val="0002549F"/>
    <w:rsid w:val="00030727"/>
    <w:rsid w:val="00031C69"/>
    <w:rsid w:val="00044B42"/>
    <w:rsid w:val="00047E42"/>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160"/>
    <w:rsid w:val="000E6613"/>
    <w:rsid w:val="000E7119"/>
    <w:rsid w:val="0010260C"/>
    <w:rsid w:val="00114E9B"/>
    <w:rsid w:val="00121E9E"/>
    <w:rsid w:val="00121EC8"/>
    <w:rsid w:val="00137FBA"/>
    <w:rsid w:val="0014729F"/>
    <w:rsid w:val="00157BAB"/>
    <w:rsid w:val="001654D1"/>
    <w:rsid w:val="00170A54"/>
    <w:rsid w:val="0018106D"/>
    <w:rsid w:val="001877A7"/>
    <w:rsid w:val="00191536"/>
    <w:rsid w:val="00196687"/>
    <w:rsid w:val="00196874"/>
    <w:rsid w:val="001A13F4"/>
    <w:rsid w:val="001A1D8B"/>
    <w:rsid w:val="001A4352"/>
    <w:rsid w:val="001C0962"/>
    <w:rsid w:val="001D7531"/>
    <w:rsid w:val="001E5AB2"/>
    <w:rsid w:val="001E737D"/>
    <w:rsid w:val="001E79E5"/>
    <w:rsid w:val="001F0592"/>
    <w:rsid w:val="001F7506"/>
    <w:rsid w:val="002006CD"/>
    <w:rsid w:val="00202B36"/>
    <w:rsid w:val="00204B7A"/>
    <w:rsid w:val="0021101A"/>
    <w:rsid w:val="002136FD"/>
    <w:rsid w:val="00220536"/>
    <w:rsid w:val="00235629"/>
    <w:rsid w:val="00260C38"/>
    <w:rsid w:val="002616C0"/>
    <w:rsid w:val="002662AA"/>
    <w:rsid w:val="00280496"/>
    <w:rsid w:val="002864DE"/>
    <w:rsid w:val="00287F4C"/>
    <w:rsid w:val="00295495"/>
    <w:rsid w:val="002B2613"/>
    <w:rsid w:val="002B72E2"/>
    <w:rsid w:val="002F1818"/>
    <w:rsid w:val="002F567B"/>
    <w:rsid w:val="003216A9"/>
    <w:rsid w:val="0032394B"/>
    <w:rsid w:val="00337234"/>
    <w:rsid w:val="0037013F"/>
    <w:rsid w:val="00380C92"/>
    <w:rsid w:val="003911E9"/>
    <w:rsid w:val="00392760"/>
    <w:rsid w:val="003A0035"/>
    <w:rsid w:val="003A484F"/>
    <w:rsid w:val="003B0BE0"/>
    <w:rsid w:val="003B0C1B"/>
    <w:rsid w:val="003B688C"/>
    <w:rsid w:val="003C0291"/>
    <w:rsid w:val="003C39AE"/>
    <w:rsid w:val="003C7B60"/>
    <w:rsid w:val="003D1FB2"/>
    <w:rsid w:val="003D66DA"/>
    <w:rsid w:val="003E1310"/>
    <w:rsid w:val="003E6F55"/>
    <w:rsid w:val="003F4281"/>
    <w:rsid w:val="00406254"/>
    <w:rsid w:val="004223DE"/>
    <w:rsid w:val="0042786E"/>
    <w:rsid w:val="00434489"/>
    <w:rsid w:val="00437085"/>
    <w:rsid w:val="00443880"/>
    <w:rsid w:val="004464F4"/>
    <w:rsid w:val="00471401"/>
    <w:rsid w:val="004715D2"/>
    <w:rsid w:val="00472C1F"/>
    <w:rsid w:val="00473F31"/>
    <w:rsid w:val="0048263A"/>
    <w:rsid w:val="00487E5D"/>
    <w:rsid w:val="004A711F"/>
    <w:rsid w:val="004B199D"/>
    <w:rsid w:val="004B1A3D"/>
    <w:rsid w:val="004B3E68"/>
    <w:rsid w:val="004B4690"/>
    <w:rsid w:val="004B636A"/>
    <w:rsid w:val="004C3743"/>
    <w:rsid w:val="004E0A2D"/>
    <w:rsid w:val="004E206B"/>
    <w:rsid w:val="004E6DF7"/>
    <w:rsid w:val="004F0FBD"/>
    <w:rsid w:val="004F3FE7"/>
    <w:rsid w:val="00505A47"/>
    <w:rsid w:val="00510952"/>
    <w:rsid w:val="00512FDA"/>
    <w:rsid w:val="00520DA0"/>
    <w:rsid w:val="005262F9"/>
    <w:rsid w:val="005469A1"/>
    <w:rsid w:val="005664BB"/>
    <w:rsid w:val="00571070"/>
    <w:rsid w:val="0057481D"/>
    <w:rsid w:val="0058486E"/>
    <w:rsid w:val="00594EFD"/>
    <w:rsid w:val="005960C4"/>
    <w:rsid w:val="005D1C8B"/>
    <w:rsid w:val="005D5CED"/>
    <w:rsid w:val="005F1A4C"/>
    <w:rsid w:val="00605688"/>
    <w:rsid w:val="006070AF"/>
    <w:rsid w:val="00607E6C"/>
    <w:rsid w:val="006101B1"/>
    <w:rsid w:val="00613E12"/>
    <w:rsid w:val="00614E44"/>
    <w:rsid w:val="00621807"/>
    <w:rsid w:val="00622830"/>
    <w:rsid w:val="0062733F"/>
    <w:rsid w:val="00630AEF"/>
    <w:rsid w:val="006325F8"/>
    <w:rsid w:val="00634735"/>
    <w:rsid w:val="00634C9A"/>
    <w:rsid w:val="006440E4"/>
    <w:rsid w:val="0066343B"/>
    <w:rsid w:val="00664777"/>
    <w:rsid w:val="006677ED"/>
    <w:rsid w:val="0067092F"/>
    <w:rsid w:val="006748A4"/>
    <w:rsid w:val="00682AC7"/>
    <w:rsid w:val="00683E73"/>
    <w:rsid w:val="006A3141"/>
    <w:rsid w:val="006A5E34"/>
    <w:rsid w:val="006A6F1B"/>
    <w:rsid w:val="006B2422"/>
    <w:rsid w:val="006B2AD9"/>
    <w:rsid w:val="006B2B9A"/>
    <w:rsid w:val="006C130F"/>
    <w:rsid w:val="006C1937"/>
    <w:rsid w:val="006F020C"/>
    <w:rsid w:val="007017BC"/>
    <w:rsid w:val="007127B7"/>
    <w:rsid w:val="00740CED"/>
    <w:rsid w:val="007416B6"/>
    <w:rsid w:val="00745D9E"/>
    <w:rsid w:val="00746F48"/>
    <w:rsid w:val="00750DB0"/>
    <w:rsid w:val="0075404D"/>
    <w:rsid w:val="0076182A"/>
    <w:rsid w:val="00767B7E"/>
    <w:rsid w:val="0077456F"/>
    <w:rsid w:val="007770C3"/>
    <w:rsid w:val="00784D24"/>
    <w:rsid w:val="00785FBA"/>
    <w:rsid w:val="00786E4A"/>
    <w:rsid w:val="007875EB"/>
    <w:rsid w:val="00791925"/>
    <w:rsid w:val="0079426B"/>
    <w:rsid w:val="007D312A"/>
    <w:rsid w:val="007D3F19"/>
    <w:rsid w:val="007D4218"/>
    <w:rsid w:val="007E23B0"/>
    <w:rsid w:val="007F1991"/>
    <w:rsid w:val="007F2C2F"/>
    <w:rsid w:val="007F55FC"/>
    <w:rsid w:val="007F5665"/>
    <w:rsid w:val="00800112"/>
    <w:rsid w:val="008167D4"/>
    <w:rsid w:val="008253BB"/>
    <w:rsid w:val="00826EA9"/>
    <w:rsid w:val="0083706E"/>
    <w:rsid w:val="008423A5"/>
    <w:rsid w:val="00850625"/>
    <w:rsid w:val="00851118"/>
    <w:rsid w:val="00853718"/>
    <w:rsid w:val="00855221"/>
    <w:rsid w:val="00860645"/>
    <w:rsid w:val="00867F39"/>
    <w:rsid w:val="00871F71"/>
    <w:rsid w:val="00882F8D"/>
    <w:rsid w:val="00885AF4"/>
    <w:rsid w:val="008939CD"/>
    <w:rsid w:val="008B768C"/>
    <w:rsid w:val="008C4DB1"/>
    <w:rsid w:val="008C4EAF"/>
    <w:rsid w:val="008C5176"/>
    <w:rsid w:val="008C5528"/>
    <w:rsid w:val="008C7FD0"/>
    <w:rsid w:val="008E1DE7"/>
    <w:rsid w:val="008E50F7"/>
    <w:rsid w:val="008E6D22"/>
    <w:rsid w:val="008E707C"/>
    <w:rsid w:val="00900B08"/>
    <w:rsid w:val="00902155"/>
    <w:rsid w:val="00902C78"/>
    <w:rsid w:val="00902FA3"/>
    <w:rsid w:val="00905BFC"/>
    <w:rsid w:val="00922DF9"/>
    <w:rsid w:val="00923564"/>
    <w:rsid w:val="0092392E"/>
    <w:rsid w:val="009315F9"/>
    <w:rsid w:val="0094606F"/>
    <w:rsid w:val="00946945"/>
    <w:rsid w:val="00951248"/>
    <w:rsid w:val="0095152F"/>
    <w:rsid w:val="00954C49"/>
    <w:rsid w:val="0097099F"/>
    <w:rsid w:val="009715EB"/>
    <w:rsid w:val="00971997"/>
    <w:rsid w:val="00971FFC"/>
    <w:rsid w:val="009840AC"/>
    <w:rsid w:val="0098660A"/>
    <w:rsid w:val="009931C3"/>
    <w:rsid w:val="009B2006"/>
    <w:rsid w:val="009B2C43"/>
    <w:rsid w:val="009B4EAE"/>
    <w:rsid w:val="009B7573"/>
    <w:rsid w:val="009C22F4"/>
    <w:rsid w:val="009C2E98"/>
    <w:rsid w:val="009C4E33"/>
    <w:rsid w:val="009D3447"/>
    <w:rsid w:val="009D4711"/>
    <w:rsid w:val="009F1185"/>
    <w:rsid w:val="009F18CD"/>
    <w:rsid w:val="009F2A13"/>
    <w:rsid w:val="00A02331"/>
    <w:rsid w:val="00A03E59"/>
    <w:rsid w:val="00A04EB0"/>
    <w:rsid w:val="00A13CC1"/>
    <w:rsid w:val="00A14360"/>
    <w:rsid w:val="00A16847"/>
    <w:rsid w:val="00A237D8"/>
    <w:rsid w:val="00A268C4"/>
    <w:rsid w:val="00A307CD"/>
    <w:rsid w:val="00A40A00"/>
    <w:rsid w:val="00A4142F"/>
    <w:rsid w:val="00A43892"/>
    <w:rsid w:val="00A45BFA"/>
    <w:rsid w:val="00A56DF2"/>
    <w:rsid w:val="00A67120"/>
    <w:rsid w:val="00A67AB5"/>
    <w:rsid w:val="00A90173"/>
    <w:rsid w:val="00A91760"/>
    <w:rsid w:val="00A93B00"/>
    <w:rsid w:val="00A93C21"/>
    <w:rsid w:val="00AC3C6A"/>
    <w:rsid w:val="00AD5620"/>
    <w:rsid w:val="00AD7C1B"/>
    <w:rsid w:val="00AE16BA"/>
    <w:rsid w:val="00AE1EBE"/>
    <w:rsid w:val="00B034A5"/>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16D8"/>
    <w:rsid w:val="00B944D6"/>
    <w:rsid w:val="00BA76DB"/>
    <w:rsid w:val="00BB23B3"/>
    <w:rsid w:val="00BB4DF0"/>
    <w:rsid w:val="00BC24EF"/>
    <w:rsid w:val="00BC289F"/>
    <w:rsid w:val="00BC5361"/>
    <w:rsid w:val="00BC5460"/>
    <w:rsid w:val="00BC5E3F"/>
    <w:rsid w:val="00BC6B50"/>
    <w:rsid w:val="00BD0E25"/>
    <w:rsid w:val="00BE0D90"/>
    <w:rsid w:val="00BF00BD"/>
    <w:rsid w:val="00BF5BD6"/>
    <w:rsid w:val="00C01D1A"/>
    <w:rsid w:val="00C03E31"/>
    <w:rsid w:val="00C33E72"/>
    <w:rsid w:val="00C354B2"/>
    <w:rsid w:val="00C35554"/>
    <w:rsid w:val="00C36B6A"/>
    <w:rsid w:val="00C42709"/>
    <w:rsid w:val="00C471DA"/>
    <w:rsid w:val="00C533CC"/>
    <w:rsid w:val="00C5751C"/>
    <w:rsid w:val="00C61BFC"/>
    <w:rsid w:val="00C62B85"/>
    <w:rsid w:val="00C65438"/>
    <w:rsid w:val="00C86753"/>
    <w:rsid w:val="00C91CBB"/>
    <w:rsid w:val="00CB0A3C"/>
    <w:rsid w:val="00CC09B6"/>
    <w:rsid w:val="00CC666F"/>
    <w:rsid w:val="00CD0CE3"/>
    <w:rsid w:val="00CD1E3F"/>
    <w:rsid w:val="00CE44F6"/>
    <w:rsid w:val="00CE49DA"/>
    <w:rsid w:val="00CE7B61"/>
    <w:rsid w:val="00D00095"/>
    <w:rsid w:val="00D10813"/>
    <w:rsid w:val="00D20620"/>
    <w:rsid w:val="00D26091"/>
    <w:rsid w:val="00D340AB"/>
    <w:rsid w:val="00D34E7C"/>
    <w:rsid w:val="00D35489"/>
    <w:rsid w:val="00D463C7"/>
    <w:rsid w:val="00D476D8"/>
    <w:rsid w:val="00D51276"/>
    <w:rsid w:val="00D7035F"/>
    <w:rsid w:val="00DA47BC"/>
    <w:rsid w:val="00DA65AC"/>
    <w:rsid w:val="00DB1913"/>
    <w:rsid w:val="00DC3BFD"/>
    <w:rsid w:val="00DC410D"/>
    <w:rsid w:val="00DC68CA"/>
    <w:rsid w:val="00DC7CBA"/>
    <w:rsid w:val="00DD2B4A"/>
    <w:rsid w:val="00DD73B7"/>
    <w:rsid w:val="00DF28BC"/>
    <w:rsid w:val="00DF34B9"/>
    <w:rsid w:val="00E01053"/>
    <w:rsid w:val="00E07ACF"/>
    <w:rsid w:val="00E15769"/>
    <w:rsid w:val="00E331A1"/>
    <w:rsid w:val="00E33202"/>
    <w:rsid w:val="00E336A9"/>
    <w:rsid w:val="00E50624"/>
    <w:rsid w:val="00E568DF"/>
    <w:rsid w:val="00E64269"/>
    <w:rsid w:val="00E747D7"/>
    <w:rsid w:val="00E8170D"/>
    <w:rsid w:val="00E82267"/>
    <w:rsid w:val="00E86474"/>
    <w:rsid w:val="00E8763E"/>
    <w:rsid w:val="00EA010F"/>
    <w:rsid w:val="00ED1904"/>
    <w:rsid w:val="00ED1B63"/>
    <w:rsid w:val="00ED3C1F"/>
    <w:rsid w:val="00ED4085"/>
    <w:rsid w:val="00ED420E"/>
    <w:rsid w:val="00EE2F57"/>
    <w:rsid w:val="00EF4C34"/>
    <w:rsid w:val="00EF6076"/>
    <w:rsid w:val="00EF77C6"/>
    <w:rsid w:val="00F05438"/>
    <w:rsid w:val="00F12FBD"/>
    <w:rsid w:val="00F1361C"/>
    <w:rsid w:val="00F160C7"/>
    <w:rsid w:val="00F262C4"/>
    <w:rsid w:val="00F262D6"/>
    <w:rsid w:val="00F31EDD"/>
    <w:rsid w:val="00F36D8F"/>
    <w:rsid w:val="00F417B1"/>
    <w:rsid w:val="00F432CE"/>
    <w:rsid w:val="00F602DF"/>
    <w:rsid w:val="00F639BA"/>
    <w:rsid w:val="00F81FD9"/>
    <w:rsid w:val="00F841AA"/>
    <w:rsid w:val="00F946FB"/>
    <w:rsid w:val="00F97CCF"/>
    <w:rsid w:val="00FA23E8"/>
    <w:rsid w:val="00FA2D8B"/>
    <w:rsid w:val="00FC1327"/>
    <w:rsid w:val="00FD3CC1"/>
    <w:rsid w:val="00FD7809"/>
    <w:rsid w:val="00FF0DE2"/>
    <w:rsid w:val="00FF1E02"/>
    <w:rsid w:val="00FF2704"/>
    <w:rsid w:val="00FF30B4"/>
    <w:rsid w:val="10C055FF"/>
    <w:rsid w:val="16BB723D"/>
    <w:rsid w:val="240371BF"/>
    <w:rsid w:val="29FD04D3"/>
    <w:rsid w:val="319F7F4E"/>
    <w:rsid w:val="3FFFC067"/>
    <w:rsid w:val="DFFD9D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列出段落1"/>
    <w:basedOn w:val="1"/>
    <w:qFormat/>
    <w:uiPriority w:val="34"/>
    <w:pPr>
      <w:ind w:firstLine="420" w:firstLineChars="200"/>
    </w:pPr>
  </w:style>
  <w:style w:type="paragraph" w:customStyle="1" w:styleId="30">
    <w:name w:val="Char Char Char Char Char Char Char Char Char Char Char Char Char"/>
    <w:basedOn w:val="1"/>
    <w:qFormat/>
    <w:uiPriority w:val="0"/>
    <w:pPr>
      <w:widowControl/>
      <w:spacing w:after="160" w:line="240" w:lineRule="exact"/>
      <w:jc w:val="left"/>
    </w:pPr>
    <w:rPr>
      <w:rFonts w:ascii="Times" w:hAnsi="Time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26700;&#38754;\&#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b="1" i="0" u="none" strike="noStrike" baseline="0"/>
              <a:t>收、支决算总计变动情况图</a:t>
            </a:r>
            <a:endParaRPr lang="zh-CN" altLang="en-US"/>
          </a:p>
        </c:rich>
      </c:tx>
      <c:layout/>
      <c:overlay val="false"/>
    </c:title>
    <c:autoTitleDeleted val="false"/>
    <c:plotArea>
      <c:layout/>
      <c:barChart>
        <c:barDir val="col"/>
        <c:grouping val="clustered"/>
        <c:varyColors val="false"/>
        <c:ser>
          <c:idx val="0"/>
          <c:order val="0"/>
          <c:tx>
            <c:strRef>
              <c:f>Sheet1!$A$3</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Sheet1!$B$2:$C$2</c:f>
              <c:strCache>
                <c:ptCount val="2"/>
                <c:pt idx="0">
                  <c:v>决算收入</c:v>
                </c:pt>
                <c:pt idx="1">
                  <c:v>决算支出</c:v>
                </c:pt>
              </c:strCache>
            </c:strRef>
          </c:cat>
          <c:val>
            <c:numRef>
              <c:f>Sheet1!$B$3:$C$3</c:f>
              <c:numCache>
                <c:formatCode>General</c:formatCode>
                <c:ptCount val="2"/>
                <c:pt idx="0">
                  <c:v>647.790000000001</c:v>
                </c:pt>
                <c:pt idx="1">
                  <c:v>647.790000000001</c:v>
                </c:pt>
              </c:numCache>
            </c:numRef>
          </c:val>
        </c:ser>
        <c:ser>
          <c:idx val="1"/>
          <c:order val="1"/>
          <c:tx>
            <c:strRef>
              <c:f>Sheet1!$A$4</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Sheet1!$B$2:$C$2</c:f>
              <c:strCache>
                <c:ptCount val="2"/>
                <c:pt idx="0">
                  <c:v>决算收入</c:v>
                </c:pt>
                <c:pt idx="1">
                  <c:v>决算支出</c:v>
                </c:pt>
              </c:strCache>
            </c:strRef>
          </c:cat>
          <c:val>
            <c:numRef>
              <c:f>Sheet1!$B$4:$C$4</c:f>
              <c:numCache>
                <c:formatCode>General</c:formatCode>
                <c:ptCount val="2"/>
                <c:pt idx="0">
                  <c:v>759.19</c:v>
                </c:pt>
                <c:pt idx="1">
                  <c:v>759.19</c:v>
                </c:pt>
              </c:numCache>
            </c:numRef>
          </c:val>
        </c:ser>
        <c:dLbls>
          <c:showLegendKey val="false"/>
          <c:showVal val="true"/>
          <c:showCatName val="false"/>
          <c:showSerName val="false"/>
          <c:showPercent val="false"/>
          <c:showBubbleSize val="false"/>
        </c:dLbls>
        <c:gapWidth val="150"/>
        <c:axId val="251036416"/>
        <c:axId val="251075584"/>
      </c:barChart>
      <c:catAx>
        <c:axId val="25103641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075584"/>
        <c:crosses val="autoZero"/>
        <c:auto val="true"/>
        <c:lblAlgn val="ctr"/>
        <c:lblOffset val="100"/>
        <c:noMultiLvlLbl val="false"/>
      </c:catAx>
      <c:valAx>
        <c:axId val="251075584"/>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036416"/>
        <c:crosses val="autoZero"/>
        <c:crossBetween val="between"/>
      </c:valAx>
      <c:spPr>
        <a:solidFill>
          <a:schemeClr val="bg1"/>
        </a:solidFill>
        <a:ln>
          <a:noFill/>
        </a:ln>
        <a:effectLst/>
      </c:spPr>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a:t>2018</a:t>
            </a:r>
            <a:r>
              <a:rPr lang="zh-CN" altLang="en-US"/>
              <a:t>年收入结构图</a:t>
            </a:r>
            <a:endParaRPr lang="zh-CN" altLang="en-US"/>
          </a:p>
        </c:rich>
      </c:tx>
      <c:layout>
        <c:manualLayout>
          <c:xMode val="edge"/>
          <c:yMode val="edge"/>
          <c:x val="0.209913912802002"/>
          <c:y val="0"/>
        </c:manualLayout>
      </c:layout>
      <c:overlay val="false"/>
    </c:title>
    <c:autoTitleDeleted val="false"/>
    <c:plotArea>
      <c:layout/>
      <c:pieChart>
        <c:varyColors val="true"/>
        <c:ser>
          <c:idx val="0"/>
          <c:order val="0"/>
          <c:tx>
            <c:strRef>
              <c:f>Sheet1!$A$2</c:f>
              <c:strCache>
                <c:ptCount val="1"/>
                <c:pt idx="0">
                  <c:v>金额</c:v>
                </c:pt>
              </c:strCache>
            </c:strRef>
          </c:tx>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99.97</a:t>
                    </a:r>
                    <a:r>
                      <a:rPr lang="en-US" altLang="zh-CN"/>
                      <a:t>%</a:t>
                    </a:r>
                    <a:endParaRPr lang="en-US" altLang="zh-CN"/>
                  </a:p>
                  <a:p>
                    <a:pPr>
                      <a:defRPr lang="zh-CN" sz="1000" b="0" i="0" u="none" strike="noStrike" kern="1200" baseline="0">
                        <a:solidFill>
                          <a:schemeClr val="tx1"/>
                        </a:solidFill>
                        <a:latin typeface="+mn-lt"/>
                        <a:ea typeface="+mn-ea"/>
                        <a:cs typeface="+mn-cs"/>
                      </a:defRPr>
                    </a:pPr>
                    <a:r>
                      <a:rPr lang="en-US" altLang="en-US"/>
                      <a:t>647.59</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0.03</a:t>
                    </a:r>
                    <a:r>
                      <a:rPr lang="en-US" altLang="zh-CN"/>
                      <a:t>%</a:t>
                    </a:r>
                    <a:endParaRPr lang="en-US" altLang="zh-CN"/>
                  </a:p>
                  <a:p>
                    <a:pPr>
                      <a:defRPr lang="zh-CN" sz="1000" b="0" i="0" u="none" strike="noStrike" kern="1200" baseline="0">
                        <a:solidFill>
                          <a:schemeClr val="tx1"/>
                        </a:solidFill>
                        <a:latin typeface="+mn-lt"/>
                        <a:ea typeface="+mn-ea"/>
                        <a:cs typeface="+mn-cs"/>
                      </a:defRPr>
                    </a:pPr>
                    <a:r>
                      <a:rPr lang="en-US" altLang="en-US"/>
                      <a:t>0.2</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财政拨款收入</c:v>
                </c:pt>
                <c:pt idx="1">
                  <c:v>其他收入</c:v>
                </c:pt>
              </c:strCache>
            </c:strRef>
          </c:cat>
          <c:val>
            <c:numRef>
              <c:f>Sheet1!$B$2:$C$2</c:f>
              <c:numCache>
                <c:formatCode>General</c:formatCode>
                <c:ptCount val="2"/>
                <c:pt idx="0">
                  <c:v>647.59</c:v>
                </c:pt>
                <c:pt idx="1">
                  <c:v>0.2</c:v>
                </c:pt>
              </c:numCache>
            </c:numRef>
          </c:val>
        </c:ser>
        <c:ser>
          <c:idx val="1"/>
          <c:order val="1"/>
          <c:tx>
            <c:strRef>
              <c:f>Sheet1!$A$3</c:f>
              <c:strCache>
                <c:ptCount val="1"/>
                <c:pt idx="0">
                  <c:v>比例</c:v>
                </c:pt>
              </c:strCache>
            </c:strRef>
          </c:tx>
          <c:explosion val="0"/>
          <c:dPt>
            <c:idx val="0"/>
            <c:bubble3D val="false"/>
          </c:dPt>
          <c:dPt>
            <c:idx val="1"/>
            <c:bubble3D val="false"/>
          </c:dPt>
          <c:dLbls>
            <c:delete val="true"/>
          </c:dLbls>
          <c:cat>
            <c:strRef>
              <c:f>Sheet1!$B$1:$C$1</c:f>
              <c:strCache>
                <c:ptCount val="2"/>
                <c:pt idx="0">
                  <c:v>财政拨款收入</c:v>
                </c:pt>
                <c:pt idx="1">
                  <c:v>其他收入</c:v>
                </c:pt>
              </c:strCache>
            </c:strRef>
          </c:cat>
          <c:val>
            <c:numRef>
              <c:f>Sheet1!$B$3:$C$3</c:f>
              <c:numCache>
                <c:formatCode>0.00%</c:formatCode>
                <c:ptCount val="2"/>
                <c:pt idx="0">
                  <c:v>0.9997</c:v>
                </c:pt>
                <c:pt idx="1">
                  <c:v>0.000300000000000004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b="1" i="0" u="none" strike="noStrike" baseline="0"/>
              <a:t>支出决算结构图</a:t>
            </a:r>
            <a:endParaRPr lang="zh-CN" altLang="en-US"/>
          </a:p>
        </c:rich>
      </c:tx>
      <c:layout>
        <c:manualLayout>
          <c:xMode val="edge"/>
          <c:yMode val="edge"/>
          <c:x val="0.305361111111111"/>
          <c:y val="0.0185185185185186"/>
        </c:manualLayout>
      </c:layout>
      <c:overlay val="false"/>
    </c:title>
    <c:autoTitleDeleted val="false"/>
    <c:plotArea>
      <c:layout/>
      <c:pieChart>
        <c:varyColors val="true"/>
        <c:ser>
          <c:idx val="0"/>
          <c:order val="0"/>
          <c:tx>
            <c:strRef>
              <c:f>Sheet1!$B$4</c:f>
              <c:strCache>
                <c:ptCount val="1"/>
                <c:pt idx="0">
                  <c:v>比例</c:v>
                </c:pt>
              </c:strCache>
            </c:strRef>
          </c:tx>
          <c:explosion val="25"/>
          <c:dPt>
            <c:idx val="0"/>
            <c:bubble3D val="false"/>
          </c:dPt>
          <c:dPt>
            <c:idx val="1"/>
            <c:bubble3D val="false"/>
          </c:dPt>
          <c:dPt>
            <c:idx val="2"/>
            <c:bubble3D val="false"/>
          </c:dPt>
          <c:dPt>
            <c:idx val="3"/>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100%</a:t>
                    </a:r>
                    <a:endParaRPr lang="en-US" altLang="zh-CN"/>
                  </a:p>
                  <a:p>
                    <a:pPr>
                      <a:defRPr lang="zh-CN" sz="1000" b="0" i="0" u="none" strike="noStrike" kern="1200" baseline="0">
                        <a:solidFill>
                          <a:schemeClr val="tx1"/>
                        </a:solidFill>
                        <a:latin typeface="+mn-lt"/>
                        <a:ea typeface="+mn-ea"/>
                        <a:cs typeface="+mn-cs"/>
                      </a:defRPr>
                    </a:pPr>
                    <a:r>
                      <a:rPr lang="en-US" altLang="zh-CN"/>
                      <a:t>647.79</a:t>
                    </a:r>
                    <a:r>
                      <a:rPr lang="zh-CN" altLang="en-US"/>
                      <a:t>万元</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Sheet1!$A$5:$A$8</c:f>
              <c:strCache>
                <c:ptCount val="4"/>
                <c:pt idx="0">
                  <c:v>基本支出</c:v>
                </c:pt>
                <c:pt idx="1">
                  <c:v>项目支出</c:v>
                </c:pt>
                <c:pt idx="2">
                  <c:v>上级上级支出</c:v>
                </c:pt>
                <c:pt idx="3">
                  <c:v>经营支出</c:v>
                </c:pt>
              </c:strCache>
            </c:strRef>
          </c:cat>
          <c:val>
            <c:numRef>
              <c:f>Sheet1!$B$5:$B$8</c:f>
              <c:numCache>
                <c:formatCode>General</c:formatCode>
                <c:ptCount val="4"/>
                <c:pt idx="0">
                  <c:v>100</c:v>
                </c:pt>
                <c:pt idx="1">
                  <c:v>0</c:v>
                </c:pt>
                <c:pt idx="2">
                  <c:v>0</c:v>
                </c:pt>
                <c:pt idx="3">
                  <c:v>0</c:v>
                </c:pt>
              </c:numCache>
            </c:numRef>
          </c:val>
        </c:ser>
        <c:ser>
          <c:idx val="1"/>
          <c:order val="1"/>
          <c:tx>
            <c:strRef>
              <c:f>Sheet1!$C$4</c:f>
              <c:strCache>
                <c:ptCount val="1"/>
                <c:pt idx="0">
                  <c:v>金额</c:v>
                </c:pt>
              </c:strCache>
            </c:strRef>
          </c:tx>
          <c:explosion val="25"/>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Sheet1!$A$5:$A$8</c:f>
              <c:strCache>
                <c:ptCount val="4"/>
                <c:pt idx="0">
                  <c:v>基本支出</c:v>
                </c:pt>
                <c:pt idx="1">
                  <c:v>项目支出</c:v>
                </c:pt>
                <c:pt idx="2">
                  <c:v>上级上级支出</c:v>
                </c:pt>
                <c:pt idx="3">
                  <c:v>经营支出</c:v>
                </c:pt>
              </c:strCache>
            </c:strRef>
          </c:cat>
          <c:val>
            <c:numRef>
              <c:f>Sheet1!$C$5:$C$8</c:f>
              <c:numCache>
                <c:formatCode>General</c:formatCode>
                <c:ptCount val="4"/>
                <c:pt idx="0">
                  <c:v>647.790000000001</c:v>
                </c:pt>
                <c:pt idx="1">
                  <c:v>0</c:v>
                </c:pt>
                <c:pt idx="2">
                  <c:v>0</c:v>
                </c:pt>
                <c:pt idx="3">
                  <c:v>0</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财政拨款收、支决算总计变动情况</a:t>
            </a:r>
            <a:endParaRPr lang="zh-CN" altLang="en-US"/>
          </a:p>
        </c:rich>
      </c:tx>
      <c:layout/>
      <c:overlay val="false"/>
    </c:title>
    <c:autoTitleDeleted val="false"/>
    <c:plotArea>
      <c:layout/>
      <c:barChart>
        <c:barDir val="col"/>
        <c:grouping val="clustered"/>
        <c:varyColors val="false"/>
        <c:ser>
          <c:idx val="0"/>
          <c:order val="0"/>
          <c:tx>
            <c:strRef>
              <c:f>Sheet1!$A$47</c:f>
              <c:strCache>
                <c:ptCount val="1"/>
                <c:pt idx="0">
                  <c:v>一般公共预算财政拨款支出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Sheet1!$B$46:$C$46</c:f>
              <c:strCache>
                <c:ptCount val="2"/>
                <c:pt idx="0">
                  <c:v>2017年</c:v>
                </c:pt>
                <c:pt idx="1">
                  <c:v>2018年</c:v>
                </c:pt>
              </c:strCache>
            </c:strRef>
          </c:cat>
          <c:val>
            <c:numRef>
              <c:f>Sheet1!$B$47:$C$47</c:f>
              <c:numCache>
                <c:formatCode>General</c:formatCode>
                <c:ptCount val="2"/>
                <c:pt idx="0">
                  <c:v>759.459999999999</c:v>
                </c:pt>
                <c:pt idx="1">
                  <c:v>647.59</c:v>
                </c:pt>
              </c:numCache>
            </c:numRef>
          </c:val>
        </c:ser>
        <c:dLbls>
          <c:showLegendKey val="false"/>
          <c:showVal val="true"/>
          <c:showCatName val="false"/>
          <c:showSerName val="false"/>
          <c:showPercent val="false"/>
          <c:showBubbleSize val="false"/>
        </c:dLbls>
        <c:gapWidth val="150"/>
        <c:axId val="251867904"/>
        <c:axId val="251869440"/>
      </c:barChart>
      <c:catAx>
        <c:axId val="25186790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869440"/>
        <c:crosses val="autoZero"/>
        <c:auto val="true"/>
        <c:lblAlgn val="ctr"/>
        <c:lblOffset val="100"/>
        <c:noMultiLvlLbl val="false"/>
      </c:catAx>
      <c:valAx>
        <c:axId val="251869440"/>
        <c:scaling>
          <c:orientation val="minMax"/>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867904"/>
        <c:crosses val="autoZero"/>
        <c:crossBetween val="between"/>
      </c:valAx>
      <c:spPr>
        <a:solidFill>
          <a:schemeClr val="bg1"/>
        </a:solidFill>
        <a:ln>
          <a:noFill/>
        </a:ln>
        <a:effectLst/>
      </c:spPr>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overlay val="false"/>
    </c:title>
    <c:autoTitleDeleted val="false"/>
    <c:plotArea>
      <c:layout/>
      <c:barChart>
        <c:barDir val="col"/>
        <c:grouping val="clustered"/>
        <c:varyColors val="false"/>
        <c:ser>
          <c:idx val="0"/>
          <c:order val="0"/>
          <c:tx>
            <c:strRef>
              <c:f>Sheet1!$A$47</c:f>
              <c:strCache>
                <c:ptCount val="1"/>
                <c:pt idx="0">
                  <c:v>一般公共预算财政拨款支出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Sheet1!$B$46:$C$46</c:f>
              <c:strCache>
                <c:ptCount val="2"/>
                <c:pt idx="0">
                  <c:v>2017年</c:v>
                </c:pt>
                <c:pt idx="1">
                  <c:v>2018年</c:v>
                </c:pt>
              </c:strCache>
            </c:strRef>
          </c:cat>
          <c:val>
            <c:numRef>
              <c:f>Sheet1!$B$47:$C$47</c:f>
              <c:numCache>
                <c:formatCode>General</c:formatCode>
                <c:ptCount val="2"/>
                <c:pt idx="0">
                  <c:v>759.459999999999</c:v>
                </c:pt>
                <c:pt idx="1">
                  <c:v>647.59</c:v>
                </c:pt>
              </c:numCache>
            </c:numRef>
          </c:val>
        </c:ser>
        <c:dLbls>
          <c:showLegendKey val="false"/>
          <c:showVal val="true"/>
          <c:showCatName val="false"/>
          <c:showSerName val="false"/>
          <c:showPercent val="false"/>
          <c:showBubbleSize val="false"/>
        </c:dLbls>
        <c:gapWidth val="150"/>
        <c:axId val="251886208"/>
        <c:axId val="251900288"/>
      </c:barChart>
      <c:catAx>
        <c:axId val="25188620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900288"/>
        <c:crosses val="autoZero"/>
        <c:auto val="true"/>
        <c:lblAlgn val="ctr"/>
        <c:lblOffset val="100"/>
        <c:noMultiLvlLbl val="false"/>
      </c:catAx>
      <c:valAx>
        <c:axId val="251900288"/>
        <c:scaling>
          <c:orientation val="minMax"/>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886208"/>
        <c:crosses val="autoZero"/>
        <c:crossBetween val="between"/>
      </c:valAx>
      <c:spPr>
        <a:solidFill>
          <a:schemeClr val="bg1"/>
        </a:solidFill>
        <a:ln>
          <a:noFill/>
        </a:ln>
        <a:effectLst/>
      </c:spPr>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200" b="1" i="0" u="none" strike="noStrike" baseline="0"/>
              <a:t>一般公共预算财政拨款支出决算结构</a:t>
            </a:r>
            <a:endParaRPr lang="zh-CN" altLang="en-US" sz="1200"/>
          </a:p>
        </c:rich>
      </c:tx>
      <c:layout/>
      <c:overlay val="false"/>
    </c:title>
    <c:autoTitleDeleted val="false"/>
    <c:plotArea>
      <c:layout/>
      <c:pieChart>
        <c:varyColors val="true"/>
        <c:ser>
          <c:idx val="0"/>
          <c:order val="0"/>
          <c:tx>
            <c:strRef>
              <c:f>Sheet1!$A$10</c:f>
              <c:strCache>
                <c:ptCount val="1"/>
                <c:pt idx="0">
                  <c:v>金额</c:v>
                </c:pt>
              </c:strCache>
            </c:strRef>
          </c:tx>
          <c:explosion val="0"/>
          <c:dPt>
            <c:idx val="0"/>
            <c:bubble3D val="false"/>
          </c:dPt>
          <c:dPt>
            <c:idx val="1"/>
            <c:bubble3D val="false"/>
          </c:dPt>
          <c:dPt>
            <c:idx val="2"/>
            <c:bubble3D val="false"/>
          </c:dPt>
          <c:dPt>
            <c:idx val="3"/>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88%</a:t>
                    </a:r>
                    <a:endParaRPr lang="en-US" altLang="en-US"/>
                  </a:p>
                  <a:p>
                    <a:pPr>
                      <a:defRPr lang="zh-CN" sz="1000" b="0" i="0" u="none" strike="noStrike" kern="1200" baseline="0">
                        <a:solidFill>
                          <a:schemeClr val="tx1"/>
                        </a:solidFill>
                        <a:latin typeface="+mn-lt"/>
                        <a:ea typeface="+mn-ea"/>
                        <a:cs typeface="+mn-cs"/>
                      </a:defRPr>
                    </a:pPr>
                    <a:r>
                      <a:rPr lang="en-US" altLang="en-US"/>
                      <a:t>573.29</a:t>
                    </a:r>
                    <a:r>
                      <a:rPr lang="zh-CN" altLang="en-US"/>
                      <a:t>万元</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a:t>
                    </a:r>
                    <a:endParaRPr lang="en-US" altLang="en-US"/>
                  </a:p>
                  <a:p>
                    <a:pPr>
                      <a:defRPr lang="zh-CN" sz="1000" b="0" i="0" u="none" strike="noStrike" kern="1200" baseline="0">
                        <a:solidFill>
                          <a:schemeClr val="tx1"/>
                        </a:solidFill>
                        <a:latin typeface="+mn-lt"/>
                        <a:ea typeface="+mn-ea"/>
                        <a:cs typeface="+mn-cs"/>
                      </a:defRPr>
                    </a:pPr>
                    <a:r>
                      <a:rPr lang="en-US" altLang="en-US"/>
                      <a:t>32.03</a:t>
                    </a:r>
                    <a:r>
                      <a:rPr lang="zh-CN" altLang="en-US"/>
                      <a:t>万元</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804781277340332"/>
                  <c:y val="-0.051469451735199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a:t>
                    </a:r>
                    <a:endParaRPr lang="en-US" altLang="en-US"/>
                  </a:p>
                  <a:p>
                    <a:pPr>
                      <a:defRPr lang="zh-CN" sz="1000" b="0" i="0" u="none" strike="noStrike" kern="1200" baseline="0">
                        <a:solidFill>
                          <a:schemeClr val="tx1"/>
                        </a:solidFill>
                        <a:latin typeface="+mn-lt"/>
                        <a:ea typeface="+mn-ea"/>
                        <a:cs typeface="+mn-cs"/>
                      </a:defRPr>
                    </a:pPr>
                    <a:r>
                      <a:rPr lang="en-US" altLang="en-US"/>
                      <a:t>42.27</a:t>
                    </a:r>
                    <a:r>
                      <a:rPr lang="zh-CN" altLang="en-US"/>
                      <a:t>万元</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Sheet1!$B$9:$E$9</c:f>
              <c:strCache>
                <c:ptCount val="3"/>
                <c:pt idx="0">
                  <c:v>因公出国（境）支出</c:v>
                </c:pt>
                <c:pt idx="1">
                  <c:v>公务用车运行及购置费支出</c:v>
                </c:pt>
                <c:pt idx="2">
                  <c:v>公务接待支出</c:v>
                </c:pt>
              </c:strCache>
            </c:strRef>
          </c:cat>
          <c:val>
            <c:numRef>
              <c:f>Sheet1!$B$10:$E$10</c:f>
              <c:numCache>
                <c:formatCode>General</c:formatCode>
                <c:ptCount val="4"/>
                <c:pt idx="0">
                  <c:v>0</c:v>
                </c:pt>
                <c:pt idx="1">
                  <c:v>7.92</c:v>
                </c:pt>
                <c:pt idx="2">
                  <c:v>3.05</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“三公”经费财政拨款支出结构图</a:t>
            </a:r>
            <a:endParaRPr lang="zh-CN" altLang="en-US"/>
          </a:p>
        </c:rich>
      </c:tx>
      <c:layout/>
      <c:overlay val="false"/>
    </c:title>
    <c:autoTitleDeleted val="false"/>
    <c:plotArea>
      <c:layout/>
      <c:pieChart>
        <c:varyColors val="true"/>
        <c:ser>
          <c:idx val="0"/>
          <c:order val="0"/>
          <c:tx>
            <c:strRef>
              <c:f>Sheet1!$A$10</c:f>
              <c:strCache>
                <c:ptCount val="1"/>
                <c:pt idx="0">
                  <c:v>金额</c:v>
                </c:pt>
              </c:strCache>
            </c:strRef>
          </c:tx>
          <c:explosion val="0"/>
          <c:dPt>
            <c:idx val="0"/>
            <c:bubble3D val="false"/>
          </c:dPt>
          <c:dPt>
            <c:idx val="1"/>
            <c:bubble3D val="false"/>
          </c:dPt>
          <c:dPt>
            <c:idx val="2"/>
            <c:bubble3D val="false"/>
          </c:dPt>
          <c:dLbls>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72%</a:t>
                    </a:r>
                    <a:endParaRPr lang="en-US" altLang="en-US"/>
                  </a:p>
                  <a:p>
                    <a:pPr>
                      <a:defRPr lang="zh-CN" sz="1000" b="0" i="0" u="none" strike="noStrike" kern="1200" baseline="0">
                        <a:solidFill>
                          <a:schemeClr val="tx1"/>
                        </a:solidFill>
                        <a:latin typeface="+mn-lt"/>
                        <a:ea typeface="+mn-ea"/>
                        <a:cs typeface="+mn-cs"/>
                      </a:defRPr>
                    </a:pPr>
                    <a:r>
                      <a:rPr lang="en-US" altLang="en-US"/>
                      <a:t>7.92</a:t>
                    </a:r>
                    <a:r>
                      <a:rPr lang="zh-CN" altLang="en-US"/>
                      <a:t>万元</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28%</a:t>
                    </a:r>
                    <a:endParaRPr lang="en-US" altLang="en-US"/>
                  </a:p>
                  <a:p>
                    <a:pPr>
                      <a:defRPr lang="zh-CN" sz="1000" b="0" i="0" u="none" strike="noStrike" kern="1200" baseline="0">
                        <a:solidFill>
                          <a:schemeClr val="tx1"/>
                        </a:solidFill>
                        <a:latin typeface="+mn-lt"/>
                        <a:ea typeface="+mn-ea"/>
                        <a:cs typeface="+mn-cs"/>
                      </a:defRPr>
                    </a:pPr>
                    <a:r>
                      <a:rPr lang="en-US" altLang="zh-CN"/>
                      <a:t>3.05</a:t>
                    </a:r>
                    <a:r>
                      <a:rPr lang="zh-CN" altLang="en-US"/>
                      <a:t>万元</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Sheet1!$B$9:$D$9</c:f>
              <c:strCache>
                <c:ptCount val="3"/>
                <c:pt idx="0">
                  <c:v>因公出国（境）支出</c:v>
                </c:pt>
                <c:pt idx="1">
                  <c:v>公务用车运行及购置费支出</c:v>
                </c:pt>
                <c:pt idx="2">
                  <c:v>公务接待支出</c:v>
                </c:pt>
              </c:strCache>
            </c:strRef>
          </c:cat>
          <c:val>
            <c:numRef>
              <c:f>Sheet1!$B$10:$D$10</c:f>
              <c:numCache>
                <c:formatCode>General</c:formatCode>
                <c:ptCount val="3"/>
                <c:pt idx="0">
                  <c:v>0</c:v>
                </c:pt>
                <c:pt idx="1">
                  <c:v>7.92</c:v>
                </c:pt>
                <c:pt idx="2">
                  <c:v>3.05</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1344</Words>
  <Characters>7663</Characters>
  <Lines>63</Lines>
  <Paragraphs>17</Paragraphs>
  <TotalTime>16</TotalTime>
  <ScaleCrop>false</ScaleCrop>
  <LinksUpToDate>false</LinksUpToDate>
  <CharactersWithSpaces>8990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杨</cp:lastModifiedBy>
  <cp:lastPrinted>2019-08-01T16:48:00Z</cp:lastPrinted>
  <dcterms:modified xsi:type="dcterms:W3CDTF">2021-05-31T15:35:16Z</dcterms:modified>
  <dc:title>四川省***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