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E7" w:rsidRDefault="004259E7">
      <w:pPr>
        <w:spacing w:line="600" w:lineRule="exact"/>
        <w:jc w:val="center"/>
        <w:outlineLvl w:val="0"/>
        <w:rPr>
          <w:rFonts w:ascii="方正小标宋简体" w:eastAsia="方正小标宋简体" w:hAnsi="宋体" w:hint="eastAsia"/>
          <w:color w:val="000000"/>
          <w:sz w:val="72"/>
          <w:szCs w:val="72"/>
        </w:rPr>
      </w:pPr>
      <w:bookmarkStart w:id="0" w:name="_Toc15306267"/>
    </w:p>
    <w:p w:rsidR="004259E7" w:rsidRDefault="004259E7">
      <w:pPr>
        <w:spacing w:line="600" w:lineRule="exact"/>
        <w:jc w:val="center"/>
        <w:outlineLvl w:val="0"/>
        <w:rPr>
          <w:rFonts w:ascii="方正小标宋简体" w:eastAsia="方正小标宋简体" w:hAnsi="宋体"/>
          <w:color w:val="000000"/>
          <w:sz w:val="72"/>
          <w:szCs w:val="72"/>
        </w:rPr>
      </w:pPr>
    </w:p>
    <w:p w:rsidR="004259E7" w:rsidRDefault="004259E7">
      <w:pPr>
        <w:spacing w:line="600" w:lineRule="exact"/>
        <w:jc w:val="center"/>
        <w:outlineLvl w:val="0"/>
        <w:rPr>
          <w:rFonts w:ascii="方正小标宋简体" w:eastAsia="方正小标宋简体" w:hAnsi="宋体"/>
          <w:color w:val="000000"/>
          <w:sz w:val="72"/>
          <w:szCs w:val="72"/>
        </w:rPr>
      </w:pPr>
    </w:p>
    <w:p w:rsidR="004259E7" w:rsidRDefault="004259E7">
      <w:pPr>
        <w:spacing w:line="600" w:lineRule="exact"/>
        <w:jc w:val="center"/>
        <w:outlineLvl w:val="0"/>
        <w:rPr>
          <w:rFonts w:ascii="方正小标宋简体" w:eastAsia="方正小标宋简体" w:hAnsi="宋体"/>
          <w:color w:val="000000"/>
          <w:sz w:val="72"/>
          <w:szCs w:val="72"/>
        </w:rPr>
      </w:pPr>
    </w:p>
    <w:p w:rsidR="004259E7" w:rsidRDefault="002217CF">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96475"/>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4259E7" w:rsidRDefault="002217CF">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7194"/>
      <w:bookmarkStart w:id="8" w:name="_Toc15378442"/>
      <w:bookmarkStart w:id="9" w:name="_Toc15396476"/>
      <w:bookmarkStart w:id="10" w:name="_Toc15396598"/>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雅安市名山区人民检察院部门决算</w:t>
      </w:r>
      <w:bookmarkEnd w:id="6"/>
      <w:bookmarkEnd w:id="7"/>
      <w:bookmarkEnd w:id="8"/>
      <w:bookmarkEnd w:id="9"/>
      <w:bookmarkEnd w:id="10"/>
      <w:bookmarkEnd w:id="11"/>
    </w:p>
    <w:p w:rsidR="004259E7" w:rsidRDefault="002217CF">
      <w:pPr>
        <w:widowControl/>
        <w:jc w:val="center"/>
        <w:rPr>
          <w:rFonts w:ascii="黑体" w:eastAsia="黑体" w:hAnsi="黑体"/>
          <w:color w:val="000000"/>
          <w:sz w:val="48"/>
          <w:szCs w:val="48"/>
        </w:rPr>
      </w:pPr>
      <w:r>
        <w:rPr>
          <w:rFonts w:ascii="方正小标宋简体" w:eastAsia="方正小标宋简体" w:hAnsi="宋体" w:hint="eastAsia"/>
          <w:color w:val="000000"/>
          <w:sz w:val="36"/>
          <w:szCs w:val="36"/>
        </w:rPr>
        <w:t xml:space="preserve"> </w:t>
      </w: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4259E7" w:rsidRDefault="00E961E2">
      <w:pPr>
        <w:widowControl/>
        <w:jc w:val="center"/>
        <w:rPr>
          <w:rFonts w:ascii="黑体" w:eastAsia="黑体" w:hAnsi="黑体" w:cstheme="minorBidi"/>
          <w:sz w:val="28"/>
          <w:szCs w:val="28"/>
        </w:rPr>
      </w:pPr>
      <w:r w:rsidRPr="00E961E2">
        <w:rPr>
          <w:rFonts w:ascii="黑体" w:eastAsia="黑体" w:hAnsi="黑体"/>
          <w:color w:val="000000"/>
          <w:sz w:val="48"/>
          <w:szCs w:val="48"/>
        </w:rPr>
        <w:fldChar w:fldCharType="begin"/>
      </w:r>
      <w:r w:rsidR="002217CF">
        <w:rPr>
          <w:rFonts w:ascii="黑体" w:eastAsia="黑体" w:hAnsi="黑体"/>
          <w:color w:val="000000"/>
          <w:sz w:val="48"/>
          <w:szCs w:val="48"/>
        </w:rPr>
        <w:instrText xml:space="preserve"> TOC \o "1-2" \h \z \u </w:instrText>
      </w:r>
      <w:r w:rsidRPr="00E961E2">
        <w:rPr>
          <w:rFonts w:ascii="黑体" w:eastAsia="黑体" w:hAnsi="黑体"/>
          <w:color w:val="000000"/>
          <w:sz w:val="48"/>
          <w:szCs w:val="48"/>
        </w:rPr>
        <w:fldChar w:fldCharType="separate"/>
      </w:r>
    </w:p>
    <w:p w:rsidR="004259E7" w:rsidRDefault="002217CF">
      <w:pPr>
        <w:pStyle w:val="10"/>
      </w:pPr>
      <w:r>
        <w:rPr>
          <w:rFonts w:hint="eastAsia"/>
        </w:rPr>
        <w:t>公开时间：2019年9月16日</w:t>
      </w:r>
    </w:p>
    <w:p w:rsidR="004259E7" w:rsidRDefault="004259E7"/>
    <w:p w:rsidR="004259E7" w:rsidRDefault="00E961E2">
      <w:pPr>
        <w:pStyle w:val="10"/>
        <w:rPr>
          <w:rFonts w:cstheme="minorBidi"/>
        </w:rPr>
      </w:pPr>
      <w:hyperlink w:anchor="_Toc15396599" w:history="1">
        <w:r w:rsidR="002217CF">
          <w:rPr>
            <w:rStyle w:val="a8"/>
            <w:rFonts w:hint="eastAsia"/>
          </w:rPr>
          <w:t>第一部分 部门概况</w:t>
        </w:r>
        <w:r w:rsidR="002217CF">
          <w:tab/>
        </w:r>
        <w:r w:rsidR="002217CF">
          <w:rPr>
            <w:rFonts w:hint="eastAsia"/>
          </w:rPr>
          <w:t>4</w:t>
        </w:r>
      </w:hyperlink>
    </w:p>
    <w:p w:rsidR="004259E7" w:rsidRDefault="00E961E2">
      <w:pPr>
        <w:pStyle w:val="20"/>
        <w:rPr>
          <w:rFonts w:ascii="仿宋" w:eastAsia="仿宋" w:hAnsi="仿宋" w:cstheme="minorBidi"/>
          <w:sz w:val="28"/>
          <w:szCs w:val="28"/>
        </w:rPr>
      </w:pPr>
      <w:hyperlink w:anchor="_Toc15396600" w:history="1">
        <w:r w:rsidR="002217CF">
          <w:rPr>
            <w:rStyle w:val="a8"/>
            <w:rFonts w:ascii="仿宋" w:eastAsia="仿宋" w:hAnsi="仿宋" w:hint="eastAsia"/>
            <w:sz w:val="28"/>
            <w:szCs w:val="28"/>
          </w:rPr>
          <w:t>一、基本职能及主要工作</w:t>
        </w:r>
        <w:r w:rsidR="002217CF">
          <w:rPr>
            <w:rFonts w:ascii="仿宋" w:eastAsia="仿宋" w:hAnsi="仿宋"/>
            <w:sz w:val="28"/>
            <w:szCs w:val="28"/>
          </w:rPr>
          <w:tab/>
        </w:r>
        <w:r w:rsidR="002217CF">
          <w:rPr>
            <w:rFonts w:ascii="仿宋" w:eastAsia="仿宋" w:hAnsi="仿宋" w:hint="eastAsia"/>
            <w:sz w:val="28"/>
            <w:szCs w:val="28"/>
          </w:rPr>
          <w:t>4</w:t>
        </w:r>
      </w:hyperlink>
    </w:p>
    <w:p w:rsidR="004259E7" w:rsidRDefault="00E961E2">
      <w:pPr>
        <w:pStyle w:val="20"/>
        <w:rPr>
          <w:rFonts w:ascii="仿宋" w:eastAsia="仿宋" w:hAnsi="仿宋" w:cstheme="minorBidi"/>
          <w:sz w:val="28"/>
          <w:szCs w:val="28"/>
        </w:rPr>
      </w:pPr>
      <w:hyperlink w:anchor="_Toc15396601" w:history="1">
        <w:r w:rsidR="002217CF">
          <w:rPr>
            <w:rStyle w:val="a8"/>
            <w:rFonts w:ascii="仿宋" w:eastAsia="仿宋" w:hAnsi="仿宋" w:hint="eastAsia"/>
            <w:sz w:val="28"/>
            <w:szCs w:val="28"/>
          </w:rPr>
          <w:t>二、机构设置</w:t>
        </w:r>
        <w:r w:rsidR="002217CF">
          <w:rPr>
            <w:rFonts w:ascii="仿宋" w:eastAsia="仿宋" w:hAnsi="仿宋"/>
            <w:sz w:val="28"/>
            <w:szCs w:val="28"/>
          </w:rPr>
          <w:tab/>
        </w:r>
        <w:r w:rsidR="00E45522">
          <w:rPr>
            <w:rFonts w:ascii="仿宋" w:eastAsia="仿宋" w:hAnsi="仿宋" w:hint="eastAsia"/>
            <w:sz w:val="28"/>
            <w:szCs w:val="28"/>
          </w:rPr>
          <w:t>7</w:t>
        </w:r>
      </w:hyperlink>
    </w:p>
    <w:p w:rsidR="004259E7" w:rsidRDefault="00E961E2">
      <w:pPr>
        <w:pStyle w:val="10"/>
      </w:pPr>
      <w:hyperlink w:anchor="_Toc15396602" w:history="1">
        <w:r w:rsidR="002217CF">
          <w:rPr>
            <w:rStyle w:val="a8"/>
            <w:rFonts w:hint="eastAsia"/>
          </w:rPr>
          <w:t>第二部分</w:t>
        </w:r>
        <w:r w:rsidR="002217CF">
          <w:rPr>
            <w:rStyle w:val="a8"/>
          </w:rPr>
          <w:t xml:space="preserve"> 201</w:t>
        </w:r>
        <w:r w:rsidR="002217CF">
          <w:rPr>
            <w:rStyle w:val="a8"/>
            <w:rFonts w:hint="eastAsia"/>
          </w:rPr>
          <w:t>9年度部门决算情况说明</w:t>
        </w:r>
        <w:r w:rsidR="002217CF">
          <w:tab/>
        </w:r>
        <w:r w:rsidR="002217CF">
          <w:rPr>
            <w:rFonts w:hint="eastAsia"/>
          </w:rPr>
          <w:t>7</w:t>
        </w:r>
      </w:hyperlink>
    </w:p>
    <w:p w:rsidR="004259E7" w:rsidRDefault="00E961E2">
      <w:pPr>
        <w:pStyle w:val="20"/>
        <w:rPr>
          <w:rFonts w:ascii="仿宋" w:eastAsia="仿宋" w:hAnsi="仿宋" w:cstheme="minorBidi"/>
          <w:sz w:val="28"/>
          <w:szCs w:val="28"/>
        </w:rPr>
      </w:pPr>
      <w:hyperlink w:anchor="_Toc15396603" w:history="1">
        <w:r w:rsidR="002217CF">
          <w:rPr>
            <w:rStyle w:val="a8"/>
            <w:rFonts w:ascii="仿宋" w:eastAsia="仿宋" w:hAnsi="仿宋" w:cstheme="majorBidi" w:hint="eastAsia"/>
            <w:bCs/>
            <w:sz w:val="28"/>
            <w:szCs w:val="28"/>
          </w:rPr>
          <w:t>一、</w:t>
        </w:r>
        <w:r w:rsidR="002217CF">
          <w:rPr>
            <w:rStyle w:val="a8"/>
            <w:rFonts w:ascii="仿宋" w:eastAsia="仿宋" w:hAnsi="仿宋" w:hint="eastAsia"/>
            <w:sz w:val="28"/>
            <w:szCs w:val="28"/>
          </w:rPr>
          <w:t>收</w:t>
        </w:r>
        <w:r w:rsidR="002217CF">
          <w:rPr>
            <w:rStyle w:val="a8"/>
            <w:rFonts w:ascii="仿宋" w:eastAsia="仿宋" w:hAnsi="仿宋" w:cstheme="majorBidi" w:hint="eastAsia"/>
            <w:bCs/>
            <w:sz w:val="28"/>
            <w:szCs w:val="28"/>
          </w:rPr>
          <w:t>入支出决算总体情况说明</w:t>
        </w:r>
        <w:r w:rsidR="002217CF">
          <w:rPr>
            <w:rFonts w:ascii="仿宋" w:eastAsia="仿宋" w:hAnsi="仿宋"/>
            <w:sz w:val="28"/>
            <w:szCs w:val="28"/>
          </w:rPr>
          <w:tab/>
        </w:r>
        <w:r w:rsidR="002217CF">
          <w:rPr>
            <w:rFonts w:ascii="仿宋" w:eastAsia="仿宋" w:hAnsi="仿宋" w:hint="eastAsia"/>
            <w:sz w:val="28"/>
            <w:szCs w:val="28"/>
          </w:rPr>
          <w:t>7</w:t>
        </w:r>
      </w:hyperlink>
    </w:p>
    <w:p w:rsidR="004259E7" w:rsidRDefault="00E961E2">
      <w:pPr>
        <w:pStyle w:val="20"/>
        <w:rPr>
          <w:rFonts w:ascii="仿宋" w:eastAsia="仿宋" w:hAnsi="仿宋" w:cstheme="minorBidi"/>
          <w:sz w:val="28"/>
          <w:szCs w:val="28"/>
        </w:rPr>
      </w:pPr>
      <w:hyperlink w:anchor="_Toc15396604" w:history="1">
        <w:r w:rsidR="002217CF">
          <w:rPr>
            <w:rStyle w:val="a8"/>
            <w:rFonts w:ascii="仿宋" w:eastAsia="仿宋" w:hAnsi="仿宋" w:cstheme="majorBidi" w:hint="eastAsia"/>
            <w:bCs/>
            <w:sz w:val="28"/>
            <w:szCs w:val="28"/>
          </w:rPr>
          <w:t>二、</w:t>
        </w:r>
        <w:r w:rsidR="002217CF">
          <w:rPr>
            <w:rStyle w:val="a8"/>
            <w:rFonts w:ascii="仿宋" w:eastAsia="仿宋" w:hAnsi="仿宋" w:hint="eastAsia"/>
            <w:sz w:val="28"/>
            <w:szCs w:val="28"/>
          </w:rPr>
          <w:t>收</w:t>
        </w:r>
        <w:r w:rsidR="002217CF">
          <w:rPr>
            <w:rStyle w:val="a8"/>
            <w:rFonts w:ascii="仿宋" w:eastAsia="仿宋" w:hAnsi="仿宋" w:cstheme="majorBidi" w:hint="eastAsia"/>
            <w:bCs/>
            <w:sz w:val="28"/>
            <w:szCs w:val="28"/>
          </w:rPr>
          <w:t>入决算情况说明</w:t>
        </w:r>
        <w:r w:rsidR="002217CF">
          <w:rPr>
            <w:rFonts w:ascii="仿宋" w:eastAsia="仿宋" w:hAnsi="仿宋"/>
            <w:sz w:val="28"/>
            <w:szCs w:val="28"/>
          </w:rPr>
          <w:tab/>
        </w:r>
        <w:r w:rsidR="00E45522">
          <w:rPr>
            <w:rFonts w:ascii="仿宋" w:eastAsia="仿宋" w:hAnsi="仿宋" w:hint="eastAsia"/>
            <w:sz w:val="28"/>
            <w:szCs w:val="28"/>
          </w:rPr>
          <w:t>8</w:t>
        </w:r>
      </w:hyperlink>
    </w:p>
    <w:p w:rsidR="004259E7" w:rsidRDefault="00E961E2">
      <w:pPr>
        <w:pStyle w:val="20"/>
        <w:rPr>
          <w:rFonts w:ascii="仿宋" w:eastAsia="仿宋" w:hAnsi="仿宋" w:cstheme="minorBidi"/>
          <w:sz w:val="28"/>
          <w:szCs w:val="28"/>
        </w:rPr>
      </w:pPr>
      <w:hyperlink w:anchor="_Toc15396605" w:history="1">
        <w:r w:rsidR="002217CF">
          <w:rPr>
            <w:rStyle w:val="a8"/>
            <w:rFonts w:ascii="仿宋" w:eastAsia="仿宋" w:hAnsi="仿宋" w:cstheme="majorBidi" w:hint="eastAsia"/>
            <w:bCs/>
            <w:sz w:val="28"/>
            <w:szCs w:val="28"/>
          </w:rPr>
          <w:t>三、</w:t>
        </w:r>
        <w:r w:rsidR="002217CF">
          <w:rPr>
            <w:rStyle w:val="a8"/>
            <w:rFonts w:ascii="仿宋" w:eastAsia="仿宋" w:hAnsi="仿宋" w:hint="eastAsia"/>
            <w:sz w:val="28"/>
            <w:szCs w:val="28"/>
          </w:rPr>
          <w:t>支</w:t>
        </w:r>
        <w:r w:rsidR="002217CF">
          <w:rPr>
            <w:rStyle w:val="a8"/>
            <w:rFonts w:ascii="仿宋" w:eastAsia="仿宋" w:hAnsi="仿宋" w:cstheme="majorBidi" w:hint="eastAsia"/>
            <w:bCs/>
            <w:sz w:val="28"/>
            <w:szCs w:val="28"/>
          </w:rPr>
          <w:t>出决算情况说明</w:t>
        </w:r>
        <w:r w:rsidR="002217CF">
          <w:rPr>
            <w:rFonts w:ascii="仿宋" w:eastAsia="仿宋" w:hAnsi="仿宋"/>
            <w:sz w:val="28"/>
            <w:szCs w:val="28"/>
          </w:rPr>
          <w:tab/>
        </w:r>
        <w:r w:rsidR="002217CF">
          <w:rPr>
            <w:rFonts w:ascii="仿宋" w:eastAsia="仿宋" w:hAnsi="仿宋" w:hint="eastAsia"/>
            <w:sz w:val="28"/>
            <w:szCs w:val="28"/>
          </w:rPr>
          <w:t>8</w:t>
        </w:r>
      </w:hyperlink>
    </w:p>
    <w:p w:rsidR="004259E7" w:rsidRDefault="00E961E2">
      <w:pPr>
        <w:pStyle w:val="20"/>
        <w:rPr>
          <w:rFonts w:ascii="仿宋" w:eastAsia="仿宋" w:hAnsi="仿宋" w:cstheme="minorBidi"/>
          <w:sz w:val="28"/>
          <w:szCs w:val="28"/>
        </w:rPr>
      </w:pPr>
      <w:hyperlink w:anchor="_Toc15396606" w:history="1">
        <w:r w:rsidR="002217CF">
          <w:rPr>
            <w:rStyle w:val="a8"/>
            <w:rFonts w:ascii="仿宋" w:eastAsia="仿宋" w:hAnsi="仿宋" w:hint="eastAsia"/>
            <w:sz w:val="28"/>
            <w:szCs w:val="28"/>
          </w:rPr>
          <w:t>四、财</w:t>
        </w:r>
        <w:r w:rsidR="002217CF">
          <w:rPr>
            <w:rStyle w:val="a8"/>
            <w:rFonts w:ascii="仿宋" w:eastAsia="仿宋" w:hAnsi="仿宋" w:cstheme="majorBidi" w:hint="eastAsia"/>
            <w:bCs/>
            <w:sz w:val="28"/>
            <w:szCs w:val="28"/>
          </w:rPr>
          <w:t>政拨款收入支出决算总体情况说明</w:t>
        </w:r>
        <w:r w:rsidR="002217CF">
          <w:rPr>
            <w:rFonts w:ascii="仿宋" w:eastAsia="仿宋" w:hAnsi="仿宋"/>
            <w:sz w:val="28"/>
            <w:szCs w:val="28"/>
          </w:rPr>
          <w:tab/>
        </w:r>
        <w:r w:rsidR="00E45522">
          <w:rPr>
            <w:rFonts w:ascii="仿宋" w:eastAsia="仿宋" w:hAnsi="仿宋" w:hint="eastAsia"/>
            <w:sz w:val="28"/>
            <w:szCs w:val="28"/>
          </w:rPr>
          <w:t>9</w:t>
        </w:r>
      </w:hyperlink>
    </w:p>
    <w:p w:rsidR="004259E7" w:rsidRDefault="00E961E2">
      <w:pPr>
        <w:pStyle w:val="20"/>
        <w:rPr>
          <w:rFonts w:ascii="仿宋" w:eastAsia="仿宋" w:hAnsi="仿宋" w:cstheme="minorBidi"/>
          <w:sz w:val="28"/>
          <w:szCs w:val="28"/>
        </w:rPr>
      </w:pPr>
      <w:hyperlink w:anchor="_Toc15396607" w:history="1">
        <w:r w:rsidR="002217CF">
          <w:rPr>
            <w:rStyle w:val="a8"/>
            <w:rFonts w:ascii="仿宋" w:eastAsia="仿宋" w:hAnsi="仿宋" w:hint="eastAsia"/>
            <w:sz w:val="28"/>
            <w:szCs w:val="28"/>
          </w:rPr>
          <w:t>五、一</w:t>
        </w:r>
        <w:r w:rsidR="002217CF">
          <w:rPr>
            <w:rStyle w:val="a8"/>
            <w:rFonts w:ascii="仿宋" w:eastAsia="仿宋" w:hAnsi="仿宋" w:cstheme="majorBidi" w:hint="eastAsia"/>
            <w:bCs/>
            <w:sz w:val="28"/>
            <w:szCs w:val="28"/>
          </w:rPr>
          <w:t>般公共预算财政拨款支出决算情况说明</w:t>
        </w:r>
        <w:r w:rsidR="002217CF">
          <w:rPr>
            <w:rFonts w:ascii="仿宋" w:eastAsia="仿宋" w:hAnsi="仿宋"/>
            <w:sz w:val="28"/>
            <w:szCs w:val="28"/>
          </w:rPr>
          <w:tab/>
        </w:r>
        <w:r w:rsidR="002217CF">
          <w:rPr>
            <w:rFonts w:ascii="仿宋" w:eastAsia="仿宋" w:hAnsi="仿宋" w:hint="eastAsia"/>
            <w:sz w:val="28"/>
            <w:szCs w:val="28"/>
          </w:rPr>
          <w:t>9</w:t>
        </w:r>
      </w:hyperlink>
    </w:p>
    <w:p w:rsidR="004259E7" w:rsidRDefault="00E961E2">
      <w:pPr>
        <w:pStyle w:val="20"/>
        <w:rPr>
          <w:rFonts w:ascii="仿宋" w:eastAsia="仿宋" w:hAnsi="仿宋" w:cstheme="minorBidi"/>
          <w:sz w:val="28"/>
          <w:szCs w:val="28"/>
        </w:rPr>
      </w:pPr>
      <w:hyperlink w:anchor="_Toc15396608" w:history="1">
        <w:r w:rsidR="002217CF">
          <w:rPr>
            <w:rStyle w:val="a8"/>
            <w:rFonts w:ascii="仿宋" w:eastAsia="仿宋" w:hAnsi="仿宋" w:hint="eastAsia"/>
            <w:sz w:val="28"/>
            <w:szCs w:val="28"/>
          </w:rPr>
          <w:t>六、一</w:t>
        </w:r>
        <w:r w:rsidR="002217CF">
          <w:rPr>
            <w:rStyle w:val="a8"/>
            <w:rFonts w:ascii="仿宋" w:eastAsia="仿宋" w:hAnsi="仿宋" w:cstheme="majorBidi" w:hint="eastAsia"/>
            <w:bCs/>
            <w:sz w:val="28"/>
            <w:szCs w:val="28"/>
          </w:rPr>
          <w:t>般公共预算财政拨款基本支出决算情况说明</w:t>
        </w:r>
        <w:r w:rsidR="002217CF">
          <w:rPr>
            <w:rFonts w:ascii="仿宋" w:eastAsia="仿宋" w:hAnsi="仿宋"/>
            <w:sz w:val="28"/>
            <w:szCs w:val="28"/>
          </w:rPr>
          <w:tab/>
        </w:r>
        <w:r w:rsidR="002217CF">
          <w:rPr>
            <w:rFonts w:ascii="仿宋" w:eastAsia="仿宋" w:hAnsi="仿宋" w:hint="eastAsia"/>
            <w:sz w:val="28"/>
            <w:szCs w:val="28"/>
          </w:rPr>
          <w:t>11</w:t>
        </w:r>
      </w:hyperlink>
    </w:p>
    <w:p w:rsidR="004259E7" w:rsidRDefault="00E961E2">
      <w:pPr>
        <w:pStyle w:val="20"/>
        <w:rPr>
          <w:rFonts w:ascii="仿宋" w:eastAsia="仿宋" w:hAnsi="仿宋" w:cstheme="minorBidi"/>
          <w:sz w:val="28"/>
          <w:szCs w:val="28"/>
        </w:rPr>
      </w:pPr>
      <w:hyperlink w:anchor="_Toc15396609" w:history="1">
        <w:r w:rsidR="002217CF">
          <w:rPr>
            <w:rStyle w:val="a8"/>
            <w:rFonts w:ascii="仿宋" w:eastAsia="仿宋" w:hAnsi="仿宋" w:hint="eastAsia"/>
            <w:sz w:val="28"/>
            <w:szCs w:val="28"/>
          </w:rPr>
          <w:t>七、</w:t>
        </w:r>
        <w:r w:rsidR="002217CF">
          <w:rPr>
            <w:rStyle w:val="a8"/>
            <w:rFonts w:ascii="仿宋" w:eastAsia="仿宋" w:hAnsi="仿宋"/>
            <w:sz w:val="28"/>
            <w:szCs w:val="28"/>
          </w:rPr>
          <w:t>“</w:t>
        </w:r>
        <w:r w:rsidR="002217CF">
          <w:rPr>
            <w:rStyle w:val="a8"/>
            <w:rFonts w:ascii="仿宋" w:eastAsia="仿宋" w:hAnsi="仿宋" w:cstheme="majorBidi" w:hint="eastAsia"/>
            <w:bCs/>
            <w:sz w:val="28"/>
            <w:szCs w:val="28"/>
          </w:rPr>
          <w:t>三公”经费财政拨款支出决算情况说明</w:t>
        </w:r>
        <w:r w:rsidR="002217CF">
          <w:rPr>
            <w:rFonts w:ascii="仿宋" w:eastAsia="仿宋" w:hAnsi="仿宋"/>
            <w:sz w:val="28"/>
            <w:szCs w:val="28"/>
          </w:rPr>
          <w:tab/>
        </w:r>
        <w:r w:rsidR="002217CF">
          <w:rPr>
            <w:rFonts w:ascii="仿宋" w:eastAsia="仿宋" w:hAnsi="仿宋" w:hint="eastAsia"/>
            <w:sz w:val="28"/>
            <w:szCs w:val="28"/>
          </w:rPr>
          <w:t>1</w:t>
        </w:r>
        <w:r w:rsidR="00E45522">
          <w:rPr>
            <w:rFonts w:ascii="仿宋" w:eastAsia="仿宋" w:hAnsi="仿宋" w:hint="eastAsia"/>
            <w:sz w:val="28"/>
            <w:szCs w:val="28"/>
          </w:rPr>
          <w:t>2</w:t>
        </w:r>
      </w:hyperlink>
    </w:p>
    <w:p w:rsidR="004259E7" w:rsidRDefault="00E961E2">
      <w:pPr>
        <w:pStyle w:val="20"/>
        <w:rPr>
          <w:rFonts w:ascii="仿宋" w:eastAsia="仿宋" w:hAnsi="仿宋" w:cstheme="minorBidi"/>
          <w:sz w:val="28"/>
          <w:szCs w:val="28"/>
        </w:rPr>
      </w:pPr>
      <w:hyperlink w:anchor="_Toc15396610" w:history="1">
        <w:r w:rsidR="002217CF">
          <w:rPr>
            <w:rStyle w:val="a8"/>
            <w:rFonts w:ascii="仿宋" w:eastAsia="仿宋" w:hAnsi="仿宋" w:hint="eastAsia"/>
            <w:sz w:val="28"/>
            <w:szCs w:val="28"/>
          </w:rPr>
          <w:t>八、</w:t>
        </w:r>
        <w:r w:rsidR="002217CF">
          <w:rPr>
            <w:rStyle w:val="a8"/>
            <w:rFonts w:ascii="仿宋" w:eastAsia="仿宋" w:hAnsi="仿宋" w:cstheme="majorBidi" w:hint="eastAsia"/>
            <w:bCs/>
            <w:sz w:val="28"/>
            <w:szCs w:val="28"/>
          </w:rPr>
          <w:t>政府性基金预算支出决算情况说明</w:t>
        </w:r>
        <w:r w:rsidR="002217CF">
          <w:rPr>
            <w:rFonts w:ascii="仿宋" w:eastAsia="仿宋" w:hAnsi="仿宋"/>
            <w:sz w:val="28"/>
            <w:szCs w:val="28"/>
          </w:rPr>
          <w:tab/>
        </w:r>
        <w:r>
          <w:rPr>
            <w:rFonts w:ascii="仿宋" w:eastAsia="仿宋" w:hAnsi="仿宋"/>
            <w:sz w:val="28"/>
            <w:szCs w:val="28"/>
          </w:rPr>
          <w:fldChar w:fldCharType="begin"/>
        </w:r>
        <w:r w:rsidR="002217CF">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626539">
          <w:rPr>
            <w:rFonts w:ascii="仿宋" w:eastAsia="仿宋" w:hAnsi="仿宋"/>
            <w:noProof/>
            <w:sz w:val="28"/>
            <w:szCs w:val="28"/>
          </w:rPr>
          <w:t>13</w:t>
        </w:r>
        <w:r>
          <w:rPr>
            <w:rFonts w:ascii="仿宋" w:eastAsia="仿宋" w:hAnsi="仿宋"/>
            <w:sz w:val="28"/>
            <w:szCs w:val="28"/>
          </w:rPr>
          <w:fldChar w:fldCharType="end"/>
        </w:r>
      </w:hyperlink>
    </w:p>
    <w:p w:rsidR="004259E7" w:rsidRDefault="00E961E2">
      <w:pPr>
        <w:pStyle w:val="20"/>
      </w:pPr>
      <w:hyperlink w:anchor="_Toc15396611" w:history="1">
        <w:r w:rsidR="002217CF">
          <w:rPr>
            <w:rStyle w:val="a8"/>
            <w:rFonts w:ascii="仿宋" w:eastAsia="仿宋" w:hAnsi="仿宋" w:cstheme="majorBidi" w:hint="eastAsia"/>
            <w:bCs/>
            <w:sz w:val="28"/>
            <w:szCs w:val="28"/>
          </w:rPr>
          <w:t>九、</w:t>
        </w:r>
        <w:r w:rsidR="002217CF">
          <w:rPr>
            <w:rStyle w:val="a8"/>
            <w:rFonts w:ascii="仿宋" w:eastAsia="仿宋" w:hAnsi="仿宋" w:hint="eastAsia"/>
            <w:sz w:val="28"/>
            <w:szCs w:val="28"/>
          </w:rPr>
          <w:t xml:space="preserve"> 国</w:t>
        </w:r>
        <w:r w:rsidR="002217CF">
          <w:rPr>
            <w:rStyle w:val="a8"/>
            <w:rFonts w:ascii="仿宋" w:eastAsia="仿宋" w:hAnsi="仿宋" w:cstheme="majorBidi" w:hint="eastAsia"/>
            <w:bCs/>
            <w:sz w:val="28"/>
            <w:szCs w:val="28"/>
          </w:rPr>
          <w:t>有资本经营预算支出决算情况说明</w:t>
        </w:r>
        <w:r w:rsidR="002217CF">
          <w:rPr>
            <w:rFonts w:ascii="仿宋" w:eastAsia="仿宋" w:hAnsi="仿宋"/>
            <w:sz w:val="28"/>
            <w:szCs w:val="28"/>
          </w:rPr>
          <w:tab/>
        </w:r>
        <w:r>
          <w:rPr>
            <w:rFonts w:ascii="仿宋" w:eastAsia="仿宋" w:hAnsi="仿宋"/>
            <w:sz w:val="28"/>
            <w:szCs w:val="28"/>
          </w:rPr>
          <w:fldChar w:fldCharType="begin"/>
        </w:r>
        <w:r w:rsidR="002217CF">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626539">
          <w:rPr>
            <w:rFonts w:ascii="仿宋" w:eastAsia="仿宋" w:hAnsi="仿宋"/>
            <w:noProof/>
            <w:sz w:val="28"/>
            <w:szCs w:val="28"/>
          </w:rPr>
          <w:t>13</w:t>
        </w:r>
        <w:r>
          <w:rPr>
            <w:rFonts w:ascii="仿宋" w:eastAsia="仿宋" w:hAnsi="仿宋"/>
            <w:sz w:val="28"/>
            <w:szCs w:val="28"/>
          </w:rPr>
          <w:fldChar w:fldCharType="end"/>
        </w:r>
      </w:hyperlink>
    </w:p>
    <w:p w:rsidR="004259E7" w:rsidRDefault="002217CF">
      <w:r>
        <w:rPr>
          <w:rFonts w:hint="eastAsia"/>
        </w:rPr>
        <w:t xml:space="preserve">   </w:t>
      </w:r>
      <w:r>
        <w:rPr>
          <w:rStyle w:val="a8"/>
          <w:rFonts w:ascii="仿宋" w:eastAsia="仿宋" w:hAnsi="仿宋" w:hint="eastAsia"/>
          <w:color w:val="auto"/>
          <w:sz w:val="28"/>
          <w:szCs w:val="28"/>
          <w:u w:val="none"/>
        </w:rPr>
        <w:t xml:space="preserve"> 十、预算绩效情况说明</w:t>
      </w:r>
      <w:r>
        <w:rPr>
          <w:rStyle w:val="a8"/>
          <w:rFonts w:ascii="仿宋" w:eastAsia="仿宋" w:hAnsi="仿宋"/>
          <w:color w:val="auto"/>
          <w:sz w:val="28"/>
          <w:szCs w:val="28"/>
          <w:u w:val="none"/>
        </w:rPr>
        <w:tab/>
        <w:t>…………………………………………</w:t>
      </w:r>
      <w:r w:rsidR="00E45522">
        <w:rPr>
          <w:rStyle w:val="a8"/>
          <w:rFonts w:ascii="仿宋" w:eastAsia="仿宋" w:hAnsi="仿宋" w:hint="eastAsia"/>
          <w:color w:val="auto"/>
          <w:sz w:val="28"/>
          <w:szCs w:val="28"/>
          <w:u w:val="none"/>
        </w:rPr>
        <w:t>.14</w:t>
      </w:r>
    </w:p>
    <w:p w:rsidR="004259E7" w:rsidRPr="00302091" w:rsidRDefault="00E961E2">
      <w:pPr>
        <w:pStyle w:val="20"/>
        <w:rPr>
          <w:rStyle w:val="a8"/>
          <w:color w:val="auto"/>
          <w:u w:val="none"/>
        </w:rPr>
      </w:pPr>
      <w:hyperlink w:anchor="_Toc15396612" w:history="1">
        <w:r w:rsidR="002217CF">
          <w:rPr>
            <w:rStyle w:val="a8"/>
            <w:rFonts w:ascii="仿宋" w:eastAsia="仿宋" w:hAnsi="仿宋" w:hint="eastAsia"/>
            <w:sz w:val="28"/>
            <w:szCs w:val="28"/>
          </w:rPr>
          <w:t>十</w:t>
        </w:r>
        <w:r w:rsidR="002217CF">
          <w:rPr>
            <w:rStyle w:val="a8"/>
            <w:rFonts w:ascii="仿宋" w:eastAsia="仿宋" w:hAnsi="仿宋" w:cstheme="majorBidi" w:hint="eastAsia"/>
            <w:bCs/>
            <w:sz w:val="28"/>
            <w:szCs w:val="28"/>
          </w:rPr>
          <w:t>一、其他重要事项的情况说明</w:t>
        </w:r>
        <w:r w:rsidR="002217CF">
          <w:rPr>
            <w:rFonts w:ascii="仿宋" w:eastAsia="仿宋" w:hAnsi="仿宋"/>
            <w:sz w:val="28"/>
            <w:szCs w:val="28"/>
          </w:rPr>
          <w:tab/>
        </w:r>
      </w:hyperlink>
      <w:r w:rsidR="00E45522">
        <w:rPr>
          <w:rStyle w:val="a8"/>
          <w:rFonts w:ascii="仿宋" w:eastAsia="仿宋" w:hAnsi="仿宋"/>
          <w:color w:val="auto"/>
          <w:sz w:val="28"/>
          <w:szCs w:val="28"/>
          <w:u w:val="none"/>
        </w:rPr>
        <w:t>1</w:t>
      </w:r>
      <w:r w:rsidR="00E45522">
        <w:rPr>
          <w:rStyle w:val="a8"/>
          <w:rFonts w:ascii="仿宋" w:eastAsia="仿宋" w:hAnsi="仿宋" w:hint="eastAsia"/>
          <w:color w:val="auto"/>
          <w:sz w:val="28"/>
          <w:szCs w:val="28"/>
          <w:u w:val="none"/>
        </w:rPr>
        <w:t>4</w:t>
      </w:r>
    </w:p>
    <w:p w:rsidR="004259E7" w:rsidRDefault="00E961E2">
      <w:pPr>
        <w:pStyle w:val="10"/>
        <w:rPr>
          <w:rFonts w:cstheme="minorBidi"/>
        </w:rPr>
      </w:pPr>
      <w:hyperlink w:anchor="_Toc15396613" w:history="1">
        <w:r w:rsidR="002217CF">
          <w:rPr>
            <w:rStyle w:val="a8"/>
            <w:rFonts w:hint="eastAsia"/>
            <w:bCs/>
            <w:kern w:val="44"/>
          </w:rPr>
          <w:t>第三部分</w:t>
        </w:r>
        <w:r w:rsidR="002217CF">
          <w:rPr>
            <w:rStyle w:val="a8"/>
            <w:rFonts w:hint="eastAsia"/>
          </w:rPr>
          <w:t xml:space="preserve"> 名</w:t>
        </w:r>
        <w:r w:rsidR="002217CF">
          <w:rPr>
            <w:rStyle w:val="a8"/>
            <w:rFonts w:hint="eastAsia"/>
            <w:bCs/>
            <w:kern w:val="44"/>
          </w:rPr>
          <w:t>词解释</w:t>
        </w:r>
        <w:r w:rsidR="002217CF">
          <w:tab/>
        </w:r>
        <w:r w:rsidR="002217CF">
          <w:rPr>
            <w:rFonts w:hint="eastAsia"/>
          </w:rPr>
          <w:t>1</w:t>
        </w:r>
        <w:r w:rsidR="00E45522">
          <w:rPr>
            <w:rFonts w:hint="eastAsia"/>
          </w:rPr>
          <w:t>6</w:t>
        </w:r>
      </w:hyperlink>
    </w:p>
    <w:p w:rsidR="004259E7" w:rsidRDefault="00E961E2">
      <w:pPr>
        <w:pStyle w:val="10"/>
        <w:rPr>
          <w:rFonts w:cstheme="minorBidi"/>
        </w:rPr>
      </w:pPr>
      <w:hyperlink w:anchor="_Toc15396614" w:history="1">
        <w:r w:rsidR="002217CF">
          <w:rPr>
            <w:rStyle w:val="a8"/>
            <w:rFonts w:hint="eastAsia"/>
          </w:rPr>
          <w:t>第</w:t>
        </w:r>
        <w:r w:rsidR="002217CF">
          <w:rPr>
            <w:rStyle w:val="a8"/>
            <w:rFonts w:hint="eastAsia"/>
            <w:bCs/>
            <w:kern w:val="44"/>
          </w:rPr>
          <w:t>四部分附件</w:t>
        </w:r>
        <w:r w:rsidR="002217CF">
          <w:tab/>
        </w:r>
        <w:r w:rsidR="002217CF">
          <w:rPr>
            <w:rFonts w:hint="eastAsia"/>
          </w:rPr>
          <w:t>1</w:t>
        </w:r>
      </w:hyperlink>
      <w:r w:rsidR="00E45522">
        <w:rPr>
          <w:rFonts w:hint="eastAsia"/>
        </w:rPr>
        <w:t>8</w:t>
      </w:r>
    </w:p>
    <w:p w:rsidR="004259E7" w:rsidRDefault="00E961E2">
      <w:pPr>
        <w:pStyle w:val="20"/>
        <w:rPr>
          <w:rFonts w:ascii="仿宋" w:eastAsia="仿宋" w:hAnsi="仿宋" w:cstheme="minorBidi"/>
          <w:sz w:val="28"/>
          <w:szCs w:val="28"/>
        </w:rPr>
      </w:pPr>
      <w:hyperlink w:anchor="_Toc15396615" w:history="1">
        <w:r w:rsidR="002217CF">
          <w:rPr>
            <w:rStyle w:val="a8"/>
            <w:rFonts w:ascii="仿宋" w:eastAsia="仿宋" w:hAnsi="仿宋" w:hint="eastAsia"/>
            <w:kern w:val="44"/>
            <w:sz w:val="28"/>
            <w:szCs w:val="28"/>
          </w:rPr>
          <w:t>附件</w:t>
        </w:r>
        <w:r w:rsidR="002217CF">
          <w:rPr>
            <w:rStyle w:val="a8"/>
            <w:rFonts w:ascii="仿宋" w:eastAsia="仿宋" w:hAnsi="仿宋"/>
            <w:kern w:val="44"/>
            <w:sz w:val="28"/>
            <w:szCs w:val="28"/>
          </w:rPr>
          <w:t>1</w:t>
        </w:r>
        <w:r w:rsidR="002217CF">
          <w:rPr>
            <w:rFonts w:ascii="仿宋" w:eastAsia="仿宋" w:hAnsi="仿宋"/>
            <w:sz w:val="28"/>
            <w:szCs w:val="28"/>
          </w:rPr>
          <w:tab/>
        </w:r>
        <w:r w:rsidR="002217CF">
          <w:rPr>
            <w:rFonts w:ascii="仿宋" w:eastAsia="仿宋" w:hAnsi="仿宋" w:hint="eastAsia"/>
            <w:sz w:val="28"/>
            <w:szCs w:val="28"/>
          </w:rPr>
          <w:t>1</w:t>
        </w:r>
      </w:hyperlink>
      <w:r w:rsidR="00E45522">
        <w:rPr>
          <w:rFonts w:ascii="仿宋" w:eastAsia="仿宋" w:hAnsi="仿宋" w:hint="eastAsia"/>
          <w:sz w:val="28"/>
          <w:szCs w:val="28"/>
        </w:rPr>
        <w:t>8</w:t>
      </w:r>
    </w:p>
    <w:p w:rsidR="004259E7" w:rsidRDefault="00E961E2">
      <w:pPr>
        <w:pStyle w:val="10"/>
        <w:rPr>
          <w:rFonts w:cstheme="minorBidi"/>
        </w:rPr>
      </w:pPr>
      <w:hyperlink w:anchor="_Toc15396618" w:history="1">
        <w:r w:rsidR="002217CF">
          <w:rPr>
            <w:rStyle w:val="a8"/>
            <w:rFonts w:hint="eastAsia"/>
          </w:rPr>
          <w:t>第</w:t>
        </w:r>
        <w:r w:rsidR="002217CF">
          <w:rPr>
            <w:rStyle w:val="a8"/>
            <w:rFonts w:hint="eastAsia"/>
            <w:bCs/>
            <w:kern w:val="44"/>
          </w:rPr>
          <w:t>五部分附表</w:t>
        </w:r>
        <w:r w:rsidR="002217CF">
          <w:tab/>
        </w:r>
        <w:r w:rsidR="002217CF">
          <w:rPr>
            <w:rFonts w:hint="eastAsia"/>
          </w:rPr>
          <w:t>2</w:t>
        </w:r>
      </w:hyperlink>
      <w:r w:rsidR="00E45522">
        <w:rPr>
          <w:rFonts w:hint="eastAsia"/>
        </w:rPr>
        <w:t>2</w:t>
      </w:r>
    </w:p>
    <w:p w:rsidR="004259E7" w:rsidRDefault="002217CF">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收入决算总表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支出决算总表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2217CF">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2</w:t>
        </w:r>
        <w:r w:rsidR="00E45522">
          <w:rPr>
            <w:rFonts w:ascii="仿宋" w:eastAsia="仿宋" w:hAnsi="仿宋" w:hint="eastAsia"/>
            <w:sz w:val="28"/>
            <w:szCs w:val="28"/>
          </w:rPr>
          <w:t>2</w:t>
        </w:r>
      </w:hyperlink>
    </w:p>
    <w:p w:rsidR="004259E7" w:rsidRDefault="00E961E2">
      <w:pPr>
        <w:widowControl/>
        <w:jc w:val="left"/>
        <w:rPr>
          <w:rFonts w:ascii="仿宋" w:eastAsia="仿宋" w:hAnsi="仿宋"/>
          <w:color w:val="000000"/>
          <w:sz w:val="24"/>
        </w:rPr>
      </w:pPr>
      <w:r>
        <w:rPr>
          <w:rFonts w:ascii="仿宋" w:eastAsia="仿宋" w:hAnsi="仿宋"/>
          <w:color w:val="000000"/>
          <w:sz w:val="24"/>
        </w:rPr>
        <w:fldChar w:fldCharType="end"/>
      </w:r>
    </w:p>
    <w:p w:rsidR="004259E7" w:rsidRDefault="002217CF">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4259E7" w:rsidRDefault="002217CF">
      <w:pPr>
        <w:pStyle w:val="1"/>
        <w:spacing w:line="560" w:lineRule="exact"/>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4259E7" w:rsidRDefault="004259E7">
      <w:pPr>
        <w:widowControl/>
        <w:spacing w:line="560" w:lineRule="exact"/>
        <w:jc w:val="left"/>
        <w:rPr>
          <w:rFonts w:ascii="黑体" w:eastAsia="黑体"/>
          <w:color w:val="000000"/>
          <w:sz w:val="32"/>
          <w:szCs w:val="32"/>
        </w:rPr>
      </w:pPr>
    </w:p>
    <w:p w:rsidR="004259E7" w:rsidRDefault="002217CF">
      <w:pPr>
        <w:pStyle w:val="2"/>
        <w:spacing w:line="560" w:lineRule="exact"/>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6575DF" w:rsidRDefault="006575DF" w:rsidP="006575DF">
      <w:pPr>
        <w:pStyle w:val="a3"/>
        <w:adjustRightInd w:val="0"/>
        <w:snapToGrid w:val="0"/>
        <w:spacing w:before="93" w:line="600" w:lineRule="exact"/>
        <w:ind w:firstLineChars="210" w:firstLine="672"/>
        <w:outlineLvl w:val="2"/>
        <w:rPr>
          <w:rFonts w:ascii="楷体_GB2312" w:eastAsia="楷体_GB2312" w:hAnsi="仿宋"/>
          <w:bCs/>
          <w:color w:val="FF0000"/>
          <w:sz w:val="32"/>
          <w:szCs w:val="32"/>
        </w:rPr>
      </w:pPr>
      <w:bookmarkStart w:id="16" w:name="_Toc15378445"/>
      <w:bookmarkStart w:id="17" w:name="_Toc15377198"/>
      <w:bookmarkStart w:id="18" w:name="_Toc15377199"/>
      <w:bookmarkStart w:id="19" w:name="_Toc15378446"/>
      <w:r>
        <w:rPr>
          <w:rFonts w:ascii="楷体_GB2312" w:eastAsia="楷体_GB2312" w:hAnsi="仿宋" w:hint="eastAsia"/>
          <w:bCs/>
          <w:color w:val="FF0000"/>
          <w:sz w:val="32"/>
          <w:szCs w:val="32"/>
        </w:rPr>
        <w:t>（一）主要职能。</w:t>
      </w:r>
      <w:bookmarkEnd w:id="16"/>
      <w:bookmarkEnd w:id="17"/>
    </w:p>
    <w:p w:rsidR="006575DF" w:rsidRDefault="006575DF" w:rsidP="006575DF">
      <w:pPr>
        <w:widowControl/>
        <w:spacing w:line="560" w:lineRule="exact"/>
        <w:ind w:firstLineChars="250" w:firstLine="800"/>
        <w:jc w:val="left"/>
        <w:rPr>
          <w:rFonts w:ascii="仿宋_GB2312" w:eastAsia="仿宋_GB2312" w:hAnsi="仿宋"/>
          <w:bCs/>
          <w:color w:val="FF0000"/>
          <w:kern w:val="0"/>
          <w:sz w:val="32"/>
          <w:szCs w:val="32"/>
        </w:rPr>
      </w:pPr>
      <w:r>
        <w:rPr>
          <w:rFonts w:ascii="仿宋_GB2312" w:eastAsia="仿宋_GB2312" w:hAnsi="仿宋" w:hint="eastAsia"/>
          <w:bCs/>
          <w:color w:val="FF0000"/>
          <w:kern w:val="0"/>
          <w:sz w:val="32"/>
          <w:szCs w:val="32"/>
        </w:rPr>
        <w:t>名山区检察院主要职能是：</w:t>
      </w:r>
    </w:p>
    <w:p w:rsidR="006575DF" w:rsidRDefault="006575DF" w:rsidP="006575DF">
      <w:pPr>
        <w:widowControl/>
        <w:spacing w:line="560" w:lineRule="exact"/>
        <w:ind w:firstLineChars="200" w:firstLine="640"/>
        <w:jc w:val="left"/>
        <w:rPr>
          <w:rFonts w:ascii="仿宋_GB2312" w:eastAsia="仿宋_GB2312" w:hAnsi="仿宋"/>
          <w:bCs/>
          <w:color w:val="FF0000"/>
          <w:kern w:val="0"/>
          <w:sz w:val="32"/>
          <w:szCs w:val="32"/>
        </w:rPr>
      </w:pPr>
      <w:r>
        <w:rPr>
          <w:rFonts w:ascii="仿宋_GB2312" w:eastAsia="仿宋_GB2312" w:hAnsi="仿宋" w:hint="eastAsia"/>
          <w:bCs/>
          <w:color w:val="FF0000"/>
          <w:kern w:val="0"/>
          <w:sz w:val="32"/>
          <w:szCs w:val="32"/>
        </w:rPr>
        <w:t>1、对雅安市名山区人民代表大会及其常务委员会负责并报告工作，接受雅安市名山区人民代表大会及其常务委员会的监督，接受上级检察院的领导。</w:t>
      </w:r>
    </w:p>
    <w:p w:rsidR="006575DF" w:rsidRDefault="006575DF" w:rsidP="006575DF">
      <w:pPr>
        <w:widowControl/>
        <w:spacing w:line="560" w:lineRule="exact"/>
        <w:ind w:firstLineChars="200" w:firstLine="640"/>
        <w:jc w:val="left"/>
        <w:rPr>
          <w:rFonts w:ascii="仿宋_GB2312" w:eastAsia="仿宋_GB2312" w:hAnsi="仿宋"/>
          <w:bCs/>
          <w:color w:val="FF0000"/>
          <w:kern w:val="0"/>
          <w:sz w:val="32"/>
          <w:szCs w:val="32"/>
        </w:rPr>
      </w:pPr>
      <w:r>
        <w:rPr>
          <w:rFonts w:ascii="仿宋_GB2312" w:eastAsia="仿宋_GB2312" w:hAnsi="仿宋" w:hint="eastAsia"/>
          <w:bCs/>
          <w:color w:val="FF0000"/>
          <w:kern w:val="0"/>
          <w:sz w:val="32"/>
          <w:szCs w:val="32"/>
        </w:rPr>
        <w:t>2、贯彻检察工作方针，部署检察工作任务。</w:t>
      </w:r>
    </w:p>
    <w:p w:rsidR="00F309CF" w:rsidRDefault="00842D14" w:rsidP="00F309CF">
      <w:pPr>
        <w:spacing w:line="560" w:lineRule="exact"/>
        <w:ind w:firstLineChars="200" w:firstLine="640"/>
        <w:rPr>
          <w:rFonts w:ascii="仿宋_GB2312" w:eastAsia="仿宋_GB2312" w:hAnsi="MS Gothic"/>
          <w:color w:val="FF0000"/>
          <w:sz w:val="32"/>
          <w:szCs w:val="32"/>
        </w:rPr>
      </w:pPr>
      <w:r>
        <w:rPr>
          <w:rFonts w:ascii="仿宋_GB2312" w:eastAsia="仿宋_GB2312" w:cs="仿宋_GB2312" w:hint="eastAsia"/>
          <w:color w:val="FF0000"/>
          <w:sz w:val="32"/>
          <w:szCs w:val="32"/>
        </w:rPr>
        <w:t>3、</w:t>
      </w:r>
      <w:r w:rsidR="00F309CF">
        <w:rPr>
          <w:rFonts w:ascii="仿宋_GB2312" w:eastAsia="仿宋_GB2312" w:cs="仿宋_GB2312" w:hint="eastAsia"/>
          <w:color w:val="FF0000"/>
          <w:sz w:val="32"/>
          <w:szCs w:val="32"/>
        </w:rPr>
        <w:t>负责对</w:t>
      </w:r>
      <w:r w:rsidR="00F309CF">
        <w:rPr>
          <w:rFonts w:ascii="仿宋_GB2312" w:eastAsia="仿宋_GB2312" w:hAnsi="MS Gothic" w:cs="仿宋_GB2312" w:hint="eastAsia"/>
          <w:color w:val="FF0000"/>
          <w:sz w:val="32"/>
          <w:szCs w:val="32"/>
        </w:rPr>
        <w:t>法律</w:t>
      </w:r>
      <w:r w:rsidR="00F309CF">
        <w:rPr>
          <w:rFonts w:ascii="仿宋_GB2312" w:eastAsia="仿宋_GB2312" w:cs="仿宋_GB2312" w:hint="eastAsia"/>
          <w:color w:val="FF0000"/>
          <w:sz w:val="32"/>
          <w:szCs w:val="32"/>
        </w:rPr>
        <w:t>规</w:t>
      </w:r>
      <w:r w:rsidR="00F309CF">
        <w:rPr>
          <w:rFonts w:ascii="仿宋_GB2312" w:eastAsia="仿宋_GB2312" w:hAnsi="MS Gothic" w:cs="仿宋_GB2312" w:hint="eastAsia"/>
          <w:color w:val="FF0000"/>
          <w:sz w:val="32"/>
          <w:szCs w:val="32"/>
        </w:rPr>
        <w:t>定由本院</w:t>
      </w:r>
      <w:r w:rsidR="00F309CF">
        <w:rPr>
          <w:rFonts w:ascii="仿宋_GB2312" w:eastAsia="仿宋_GB2312" w:cs="仿宋_GB2312" w:hint="eastAsia"/>
          <w:color w:val="FF0000"/>
          <w:sz w:val="32"/>
          <w:szCs w:val="32"/>
        </w:rPr>
        <w:t>办</w:t>
      </w:r>
      <w:r w:rsidR="00F309CF">
        <w:rPr>
          <w:rFonts w:ascii="仿宋_GB2312" w:eastAsia="仿宋_GB2312" w:hAnsi="MS Gothic" w:cs="仿宋_GB2312" w:hint="eastAsia"/>
          <w:color w:val="FF0000"/>
          <w:sz w:val="32"/>
          <w:szCs w:val="32"/>
        </w:rPr>
        <w:t>理的刑事案件依法</w:t>
      </w:r>
      <w:r w:rsidR="00F309CF">
        <w:rPr>
          <w:rFonts w:ascii="仿宋_GB2312" w:eastAsia="仿宋_GB2312" w:cs="仿宋_GB2312" w:hint="eastAsia"/>
          <w:color w:val="FF0000"/>
          <w:sz w:val="32"/>
          <w:szCs w:val="32"/>
        </w:rPr>
        <w:t>审查</w:t>
      </w:r>
      <w:r w:rsidR="00F309CF">
        <w:rPr>
          <w:rFonts w:ascii="仿宋_GB2312" w:eastAsia="仿宋_GB2312" w:hAnsi="MS Gothic" w:cs="仿宋_GB2312" w:hint="eastAsia"/>
          <w:color w:val="FF0000"/>
          <w:sz w:val="32"/>
          <w:szCs w:val="32"/>
        </w:rPr>
        <w:t>批捕、</w:t>
      </w:r>
      <w:r w:rsidR="00F309CF">
        <w:rPr>
          <w:rFonts w:ascii="仿宋_GB2312" w:eastAsia="仿宋_GB2312" w:cs="仿宋_GB2312" w:hint="eastAsia"/>
          <w:color w:val="FF0000"/>
          <w:sz w:val="32"/>
          <w:szCs w:val="32"/>
        </w:rPr>
        <w:t>审查</w:t>
      </w:r>
      <w:r w:rsidR="00F309CF">
        <w:rPr>
          <w:rFonts w:ascii="仿宋_GB2312" w:eastAsia="仿宋_GB2312" w:hAnsi="MS Gothic" w:cs="仿宋_GB2312" w:hint="eastAsia"/>
          <w:color w:val="FF0000"/>
          <w:sz w:val="32"/>
          <w:szCs w:val="32"/>
        </w:rPr>
        <w:t>起</w:t>
      </w:r>
      <w:r w:rsidR="00F309CF">
        <w:rPr>
          <w:rFonts w:ascii="仿宋_GB2312" w:eastAsia="仿宋_GB2312" w:cs="仿宋_GB2312" w:hint="eastAsia"/>
          <w:color w:val="FF0000"/>
          <w:sz w:val="32"/>
          <w:szCs w:val="32"/>
        </w:rPr>
        <w:t>诉</w:t>
      </w:r>
      <w:r w:rsidR="00F309CF">
        <w:rPr>
          <w:rFonts w:ascii="仿宋_GB2312" w:eastAsia="仿宋_GB2312" w:hAnsi="MS Gothic" w:cs="仿宋_GB2312" w:hint="eastAsia"/>
          <w:color w:val="FF0000"/>
          <w:sz w:val="32"/>
          <w:szCs w:val="32"/>
        </w:rPr>
        <w:t>、出庭支持公</w:t>
      </w:r>
      <w:r w:rsidR="00F309CF">
        <w:rPr>
          <w:rFonts w:ascii="仿宋_GB2312" w:eastAsia="仿宋_GB2312" w:cs="仿宋_GB2312" w:hint="eastAsia"/>
          <w:color w:val="FF0000"/>
          <w:sz w:val="32"/>
          <w:szCs w:val="32"/>
        </w:rPr>
        <w:t>诉</w:t>
      </w:r>
      <w:r w:rsidR="00F309CF">
        <w:rPr>
          <w:rFonts w:ascii="仿宋_GB2312" w:eastAsia="仿宋_GB2312" w:hAnsi="MS Gothic" w:cs="仿宋_GB2312" w:hint="eastAsia"/>
          <w:color w:val="FF0000"/>
          <w:sz w:val="32"/>
          <w:szCs w:val="32"/>
        </w:rPr>
        <w:t>。开展未成年人司法保护和预防未成年人犯罪工作。</w:t>
      </w:r>
    </w:p>
    <w:p w:rsidR="006575DF" w:rsidRDefault="006575DF" w:rsidP="00F309CF">
      <w:pPr>
        <w:spacing w:line="560" w:lineRule="exact"/>
        <w:ind w:firstLineChars="200" w:firstLine="640"/>
        <w:rPr>
          <w:rFonts w:ascii="仿宋_GB2312" w:eastAsia="仿宋_GB2312" w:hAnsi="仿宋"/>
          <w:bCs/>
          <w:color w:val="FF0000"/>
          <w:kern w:val="0"/>
          <w:sz w:val="32"/>
          <w:szCs w:val="32"/>
        </w:rPr>
      </w:pPr>
      <w:r>
        <w:rPr>
          <w:rFonts w:ascii="仿宋_GB2312" w:eastAsia="仿宋_GB2312" w:hAnsi="仿宋" w:hint="eastAsia"/>
          <w:bCs/>
          <w:color w:val="FF0000"/>
          <w:kern w:val="0"/>
          <w:sz w:val="32"/>
          <w:szCs w:val="32"/>
        </w:rPr>
        <w:t>4、依法开展民事诉讼、行政诉讼和刑罚执行活动的法律监督工作。</w:t>
      </w:r>
    </w:p>
    <w:p w:rsidR="006575DF" w:rsidRDefault="006575DF" w:rsidP="006575DF">
      <w:pPr>
        <w:widowControl/>
        <w:spacing w:line="560" w:lineRule="exact"/>
        <w:ind w:firstLineChars="200" w:firstLine="640"/>
        <w:jc w:val="left"/>
        <w:rPr>
          <w:rFonts w:ascii="仿宋_GB2312" w:eastAsia="仿宋_GB2312" w:hAnsi="仿宋"/>
          <w:bCs/>
          <w:color w:val="FF0000"/>
          <w:kern w:val="0"/>
          <w:sz w:val="32"/>
          <w:szCs w:val="32"/>
        </w:rPr>
      </w:pPr>
      <w:r>
        <w:rPr>
          <w:rFonts w:ascii="仿宋_GB2312" w:eastAsia="仿宋_GB2312" w:hAnsi="仿宋" w:hint="eastAsia"/>
          <w:bCs/>
          <w:color w:val="FF0000"/>
          <w:kern w:val="0"/>
          <w:sz w:val="32"/>
          <w:szCs w:val="32"/>
        </w:rPr>
        <w:t>5、对于人民法院的民事审判活动实行法律监督，对人民法院已经发生效力的判决、裁定，发现违反法律、法规规定的，依法提出抗诉。</w:t>
      </w:r>
    </w:p>
    <w:p w:rsidR="006575DF" w:rsidRDefault="006575DF" w:rsidP="006575DF">
      <w:pPr>
        <w:widowControl/>
        <w:spacing w:line="560" w:lineRule="exact"/>
        <w:ind w:firstLineChars="200" w:firstLine="640"/>
        <w:jc w:val="left"/>
        <w:rPr>
          <w:rFonts w:ascii="仿宋_GB2312" w:eastAsia="仿宋_GB2312" w:hAnsi="仿宋"/>
          <w:bCs/>
          <w:color w:val="FF0000"/>
          <w:kern w:val="0"/>
          <w:sz w:val="32"/>
          <w:szCs w:val="32"/>
        </w:rPr>
      </w:pPr>
      <w:r>
        <w:rPr>
          <w:rFonts w:ascii="仿宋_GB2312" w:eastAsia="仿宋_GB2312" w:hAnsi="宋体" w:cs="仿宋_GB2312" w:hint="eastAsia"/>
          <w:color w:val="FF0000"/>
          <w:kern w:val="0"/>
          <w:sz w:val="32"/>
          <w:szCs w:val="32"/>
        </w:rPr>
        <w:t>6、负责</w:t>
      </w:r>
      <w:r>
        <w:rPr>
          <w:rFonts w:ascii="仿宋_GB2312" w:eastAsia="仿宋_GB2312" w:hAnsi="MS Gothic" w:cs="仿宋_GB2312" w:hint="eastAsia"/>
          <w:color w:val="FF0000"/>
          <w:kern w:val="0"/>
          <w:sz w:val="32"/>
          <w:szCs w:val="32"/>
        </w:rPr>
        <w:t>受理控告</w:t>
      </w:r>
      <w:r w:rsidR="004C2714">
        <w:rPr>
          <w:rFonts w:ascii="仿宋_GB2312" w:eastAsia="仿宋_GB2312" w:hAnsi="MS Gothic" w:cs="仿宋_GB2312" w:hint="eastAsia"/>
          <w:color w:val="FF0000"/>
          <w:kern w:val="0"/>
          <w:sz w:val="32"/>
          <w:szCs w:val="32"/>
        </w:rPr>
        <w:t>、</w:t>
      </w:r>
      <w:r>
        <w:rPr>
          <w:rFonts w:ascii="仿宋_GB2312" w:eastAsia="仿宋_GB2312" w:hAnsi="MS Gothic" w:cs="仿宋_GB2312" w:hint="eastAsia"/>
          <w:color w:val="FF0000"/>
          <w:kern w:val="0"/>
          <w:sz w:val="32"/>
          <w:szCs w:val="32"/>
        </w:rPr>
        <w:t>申</w:t>
      </w:r>
      <w:r>
        <w:rPr>
          <w:rFonts w:ascii="仿宋_GB2312" w:eastAsia="仿宋_GB2312" w:hAnsi="宋体" w:cs="仿宋_GB2312" w:hint="eastAsia"/>
          <w:color w:val="FF0000"/>
          <w:kern w:val="0"/>
          <w:sz w:val="32"/>
          <w:szCs w:val="32"/>
        </w:rPr>
        <w:t>诉和检举</w:t>
      </w:r>
      <w:r>
        <w:rPr>
          <w:rFonts w:ascii="仿宋_GB2312" w:eastAsia="仿宋_GB2312" w:hAnsi="MS Gothic" w:cs="仿宋_GB2312" w:hint="eastAsia"/>
          <w:color w:val="FF0000"/>
          <w:kern w:val="0"/>
          <w:sz w:val="32"/>
          <w:szCs w:val="32"/>
        </w:rPr>
        <w:t>。承</w:t>
      </w:r>
      <w:r>
        <w:rPr>
          <w:rFonts w:ascii="仿宋_GB2312" w:eastAsia="仿宋_GB2312" w:hAnsi="宋体" w:cs="仿宋_GB2312" w:hint="eastAsia"/>
          <w:color w:val="FF0000"/>
          <w:kern w:val="0"/>
          <w:sz w:val="32"/>
          <w:szCs w:val="32"/>
        </w:rPr>
        <w:t>办</w:t>
      </w:r>
      <w:r>
        <w:rPr>
          <w:rFonts w:ascii="仿宋_GB2312" w:eastAsia="仿宋_GB2312" w:hAnsi="MS Gothic" w:cs="仿宋_GB2312" w:hint="eastAsia"/>
          <w:color w:val="FF0000"/>
          <w:kern w:val="0"/>
          <w:sz w:val="32"/>
          <w:szCs w:val="32"/>
        </w:rPr>
        <w:t>本院管</w:t>
      </w:r>
      <w:r>
        <w:rPr>
          <w:rFonts w:ascii="仿宋_GB2312" w:eastAsia="仿宋_GB2312" w:hAnsi="宋体" w:cs="仿宋_GB2312" w:hint="eastAsia"/>
          <w:color w:val="FF0000"/>
          <w:kern w:val="0"/>
          <w:sz w:val="32"/>
          <w:szCs w:val="32"/>
        </w:rPr>
        <w:t>辖</w:t>
      </w:r>
      <w:r>
        <w:rPr>
          <w:rFonts w:ascii="仿宋_GB2312" w:eastAsia="仿宋_GB2312" w:hAnsi="MS Gothic" w:cs="仿宋_GB2312" w:hint="eastAsia"/>
          <w:color w:val="FF0000"/>
          <w:kern w:val="0"/>
          <w:sz w:val="32"/>
          <w:szCs w:val="32"/>
        </w:rPr>
        <w:t>的国家赔偿案件和国家司法救助案件。</w:t>
      </w:r>
    </w:p>
    <w:p w:rsidR="006575DF" w:rsidRDefault="006575DF" w:rsidP="006575DF">
      <w:pPr>
        <w:pStyle w:val="a3"/>
        <w:adjustRightInd w:val="0"/>
        <w:snapToGrid w:val="0"/>
        <w:spacing w:before="93" w:line="600" w:lineRule="exact"/>
        <w:ind w:firstLineChars="200" w:firstLine="640"/>
        <w:outlineLvl w:val="2"/>
        <w:rPr>
          <w:rFonts w:hAnsi="MS Gothic" w:cs="仿宋_GB2312"/>
          <w:color w:val="FF0000"/>
          <w:sz w:val="32"/>
          <w:szCs w:val="32"/>
        </w:rPr>
      </w:pPr>
      <w:r>
        <w:rPr>
          <w:rFonts w:hAnsi="仿宋" w:hint="eastAsia"/>
          <w:bCs/>
          <w:color w:val="FF0000"/>
          <w:sz w:val="32"/>
          <w:szCs w:val="32"/>
        </w:rPr>
        <w:t>7、</w:t>
      </w:r>
      <w:r>
        <w:rPr>
          <w:rFonts w:hAnsi="MS Gothic" w:cs="仿宋_GB2312" w:hint="eastAsia"/>
          <w:color w:val="FF0000"/>
          <w:sz w:val="32"/>
          <w:szCs w:val="32"/>
        </w:rPr>
        <w:t>负责法律政策研究工作。</w:t>
      </w:r>
    </w:p>
    <w:p w:rsidR="006575DF" w:rsidRDefault="006575DF" w:rsidP="006575DF">
      <w:pPr>
        <w:pStyle w:val="a3"/>
        <w:adjustRightInd w:val="0"/>
        <w:snapToGrid w:val="0"/>
        <w:spacing w:before="93" w:line="600" w:lineRule="exact"/>
        <w:ind w:firstLineChars="200" w:firstLine="640"/>
        <w:outlineLvl w:val="2"/>
        <w:rPr>
          <w:rFonts w:hAnsi="MS Gothic" w:cs="仿宋_GB2312"/>
          <w:color w:val="FF0000"/>
          <w:sz w:val="32"/>
          <w:szCs w:val="32"/>
        </w:rPr>
      </w:pPr>
      <w:r>
        <w:rPr>
          <w:rFonts w:hAnsi="MS Gothic" w:cs="仿宋_GB2312" w:hint="eastAsia"/>
          <w:color w:val="FF0000"/>
          <w:sz w:val="32"/>
          <w:szCs w:val="32"/>
        </w:rPr>
        <w:t>8、管理检察官，抓好干警思想政治工作和队伍建设</w:t>
      </w:r>
      <w:r w:rsidR="004C2714">
        <w:rPr>
          <w:rFonts w:hAnsi="MS Gothic" w:cs="仿宋_GB2312" w:hint="eastAsia"/>
          <w:color w:val="FF0000"/>
          <w:sz w:val="32"/>
          <w:szCs w:val="32"/>
        </w:rPr>
        <w:t>工作</w:t>
      </w:r>
      <w:r>
        <w:rPr>
          <w:rFonts w:hAnsi="MS Gothic" w:cs="仿宋_GB2312" w:hint="eastAsia"/>
          <w:color w:val="FF0000"/>
          <w:sz w:val="32"/>
          <w:szCs w:val="32"/>
        </w:rPr>
        <w:t>，加强教育培训工作。</w:t>
      </w:r>
    </w:p>
    <w:p w:rsidR="006575DF" w:rsidRDefault="006575DF" w:rsidP="006575DF">
      <w:pPr>
        <w:pStyle w:val="a3"/>
        <w:adjustRightInd w:val="0"/>
        <w:snapToGrid w:val="0"/>
        <w:spacing w:before="93" w:line="600" w:lineRule="exact"/>
        <w:ind w:firstLineChars="200" w:firstLine="640"/>
        <w:outlineLvl w:val="2"/>
        <w:rPr>
          <w:rFonts w:hAnsi="MS Gothic" w:cs="仿宋_GB2312"/>
          <w:color w:val="FF0000"/>
          <w:sz w:val="32"/>
          <w:szCs w:val="32"/>
        </w:rPr>
      </w:pPr>
      <w:r>
        <w:rPr>
          <w:rFonts w:hAnsi="MS Gothic" w:cs="仿宋_GB2312" w:hint="eastAsia"/>
          <w:color w:val="FF0000"/>
          <w:sz w:val="32"/>
          <w:szCs w:val="32"/>
        </w:rPr>
        <w:lastRenderedPageBreak/>
        <w:t>9、规划和管理本院的财务、装备、档案等工作。</w:t>
      </w:r>
    </w:p>
    <w:p w:rsidR="006575DF" w:rsidRDefault="006575DF" w:rsidP="006575DF">
      <w:pPr>
        <w:pStyle w:val="a3"/>
        <w:adjustRightInd w:val="0"/>
        <w:snapToGrid w:val="0"/>
        <w:spacing w:before="93" w:line="600" w:lineRule="exact"/>
        <w:ind w:firstLineChars="200" w:firstLine="640"/>
        <w:outlineLvl w:val="2"/>
        <w:rPr>
          <w:rFonts w:ascii="仿宋" w:eastAsia="仿宋" w:hAnsi="仿宋"/>
          <w:bCs/>
          <w:color w:val="FF0000"/>
          <w:sz w:val="32"/>
          <w:szCs w:val="32"/>
        </w:rPr>
      </w:pPr>
      <w:r>
        <w:rPr>
          <w:rFonts w:hAnsi="MS Gothic" w:cs="仿宋_GB2312" w:hint="eastAsia"/>
          <w:color w:val="FF0000"/>
          <w:sz w:val="32"/>
          <w:szCs w:val="32"/>
        </w:rPr>
        <w:t>10、负责其他应当由名山区检察院承办的事项。</w:t>
      </w:r>
    </w:p>
    <w:p w:rsidR="004259E7" w:rsidRPr="00251D85" w:rsidRDefault="002217CF">
      <w:pPr>
        <w:pStyle w:val="a3"/>
        <w:adjustRightInd w:val="0"/>
        <w:snapToGrid w:val="0"/>
        <w:spacing w:before="93" w:line="560" w:lineRule="exact"/>
        <w:ind w:firstLineChars="210" w:firstLine="672"/>
        <w:outlineLvl w:val="2"/>
        <w:rPr>
          <w:rFonts w:hAnsi="仿宋"/>
          <w:bCs/>
          <w:color w:val="000000"/>
          <w:sz w:val="32"/>
          <w:szCs w:val="32"/>
        </w:rPr>
      </w:pPr>
      <w:r w:rsidRPr="00251D85">
        <w:rPr>
          <w:rFonts w:hAnsi="仿宋" w:hint="eastAsia"/>
          <w:bCs/>
          <w:color w:val="000000"/>
          <w:sz w:val="32"/>
          <w:szCs w:val="32"/>
        </w:rPr>
        <w:t>（二）2019年重点工作完成情况。</w:t>
      </w:r>
      <w:bookmarkEnd w:id="18"/>
      <w:bookmarkEnd w:id="19"/>
    </w:p>
    <w:p w:rsidR="004259E7" w:rsidRPr="00251D85" w:rsidRDefault="002217CF">
      <w:pPr>
        <w:adjustRightInd w:val="0"/>
        <w:snapToGrid w:val="0"/>
        <w:spacing w:line="560" w:lineRule="exact"/>
        <w:ind w:firstLineChars="200" w:firstLine="640"/>
        <w:rPr>
          <w:rFonts w:ascii="仿宋_GB2312" w:eastAsia="仿宋_GB2312" w:hAnsi="仿宋"/>
          <w:bCs/>
          <w:color w:val="000000"/>
          <w:kern w:val="0"/>
          <w:sz w:val="32"/>
          <w:szCs w:val="32"/>
        </w:rPr>
      </w:pPr>
      <w:r w:rsidRPr="00251D85">
        <w:rPr>
          <w:rFonts w:ascii="仿宋_GB2312" w:eastAsia="仿宋_GB2312" w:hAnsi="仿宋" w:hint="eastAsia"/>
          <w:bCs/>
          <w:color w:val="000000"/>
          <w:kern w:val="0"/>
          <w:sz w:val="32"/>
          <w:szCs w:val="32"/>
        </w:rPr>
        <w:t>2019年，名山区检察院在区委和市检察院的领导下，在区人大及其常委会的监督、区政府的支持和区政协的民主监督下，坚持以习近平新时代中国特色社会主义思想为指导，围绕区委二届九次全会工作部署，以执法办案为中心，以公正司法为目标，以改革创新为动力，以队伍建设为保障，守初心，担使命，忠实履行“四大检察”职能职责，着力为大局服务，为人民司法，各项工作取得新的成绩，为加快推动名山高质量发展提供了有力的司法保障。</w:t>
      </w:r>
    </w:p>
    <w:p w:rsidR="004259E7" w:rsidRPr="00251D85" w:rsidRDefault="002217CF">
      <w:pPr>
        <w:pStyle w:val="a3"/>
        <w:adjustRightInd w:val="0"/>
        <w:snapToGrid w:val="0"/>
        <w:spacing w:before="93" w:line="560" w:lineRule="exact"/>
        <w:ind w:firstLineChars="210" w:firstLine="672"/>
        <w:outlineLvl w:val="2"/>
        <w:rPr>
          <w:rFonts w:hAnsi="仿宋"/>
          <w:bCs/>
          <w:color w:val="000000"/>
          <w:sz w:val="32"/>
          <w:szCs w:val="32"/>
        </w:rPr>
      </w:pPr>
      <w:r w:rsidRPr="00251D85">
        <w:rPr>
          <w:rFonts w:hAnsi="仿宋" w:hint="eastAsia"/>
          <w:bCs/>
          <w:color w:val="000000"/>
          <w:sz w:val="32"/>
          <w:szCs w:val="32"/>
        </w:rPr>
        <w:t>1．自觉服务经济发展。认真贯彻区委经济工作会议、县域经济发展大会、民营经济健康发展大会精神，通过履行检察职能服务和保障经济高质量发展。批捕破坏社会主义市场经济秩序案件1件1人，起诉3件3人。</w:t>
      </w:r>
    </w:p>
    <w:p w:rsidR="004259E7" w:rsidRPr="00251D85" w:rsidRDefault="002217CF">
      <w:pPr>
        <w:pStyle w:val="a3"/>
        <w:adjustRightInd w:val="0"/>
        <w:snapToGrid w:val="0"/>
        <w:spacing w:before="93" w:line="560" w:lineRule="exact"/>
        <w:ind w:firstLineChars="210" w:firstLine="672"/>
        <w:outlineLvl w:val="2"/>
        <w:rPr>
          <w:rFonts w:hAnsi="仿宋"/>
          <w:bCs/>
          <w:color w:val="000000"/>
          <w:sz w:val="32"/>
          <w:szCs w:val="32"/>
        </w:rPr>
      </w:pPr>
      <w:r w:rsidRPr="00251D85">
        <w:rPr>
          <w:rFonts w:hAnsi="仿宋" w:hint="eastAsia"/>
          <w:bCs/>
          <w:color w:val="000000"/>
          <w:sz w:val="32"/>
          <w:szCs w:val="32"/>
        </w:rPr>
        <w:t>2. 有效护航绿美名山。围绕茶业提质、绿美名山、美丽乡村建设，强化生态环境保护，批捕非法占用农用地、非法采矿、非法采伐毁坏国家重点保护植物等破坏环境资源犯罪6件10人，起诉12件20人。</w:t>
      </w:r>
    </w:p>
    <w:p w:rsidR="004259E7" w:rsidRPr="00251D85" w:rsidRDefault="002217CF">
      <w:pPr>
        <w:pStyle w:val="a3"/>
        <w:adjustRightInd w:val="0"/>
        <w:snapToGrid w:val="0"/>
        <w:spacing w:before="93" w:line="560" w:lineRule="exact"/>
        <w:ind w:firstLineChars="210" w:firstLine="672"/>
        <w:outlineLvl w:val="2"/>
        <w:rPr>
          <w:rFonts w:hAnsi="仿宋"/>
          <w:bCs/>
          <w:color w:val="000000"/>
          <w:sz w:val="32"/>
          <w:szCs w:val="32"/>
        </w:rPr>
      </w:pPr>
      <w:r w:rsidRPr="00251D85">
        <w:rPr>
          <w:rFonts w:hAnsi="仿宋" w:hint="eastAsia"/>
          <w:bCs/>
          <w:color w:val="000000"/>
          <w:sz w:val="32"/>
          <w:szCs w:val="32"/>
        </w:rPr>
        <w:t>3.积极投身“两城”创建。投入经费5万余元对“联帮包”小区进行路面修补、杂物清除、绿化美化；派出干警500余人次对网格责任路段、“联帮包”小区开展卫生清扫、文明劝导、创城宣传。</w:t>
      </w:r>
    </w:p>
    <w:p w:rsidR="004259E7" w:rsidRPr="00251D85" w:rsidRDefault="002217CF">
      <w:pPr>
        <w:pStyle w:val="a3"/>
        <w:adjustRightInd w:val="0"/>
        <w:snapToGrid w:val="0"/>
        <w:spacing w:before="93" w:line="560" w:lineRule="exact"/>
        <w:ind w:firstLineChars="210" w:firstLine="672"/>
        <w:outlineLvl w:val="2"/>
        <w:rPr>
          <w:rFonts w:hAnsi="仿宋"/>
          <w:bCs/>
          <w:color w:val="000000"/>
          <w:sz w:val="32"/>
          <w:szCs w:val="32"/>
        </w:rPr>
      </w:pPr>
      <w:r w:rsidRPr="00251D85">
        <w:rPr>
          <w:rFonts w:hAnsi="仿宋" w:hint="eastAsia"/>
          <w:bCs/>
          <w:color w:val="000000"/>
          <w:sz w:val="32"/>
          <w:szCs w:val="32"/>
        </w:rPr>
        <w:lastRenderedPageBreak/>
        <w:t>4. 依法从严打击严重犯罪。依法履行审查逮捕、审查起诉等职能，坚决打击各类违法犯罪。受理审查逮捕案件67件98人，审结66件97人，批准（决定）逮捕48件73人；受理审查起诉案件166件309人，审结159件265人，提起公诉133件213人，纠正遗漏罪行10起，追诉遗漏同案犯7人。</w:t>
      </w:r>
    </w:p>
    <w:p w:rsidR="004259E7" w:rsidRPr="00251D85" w:rsidRDefault="002217CF">
      <w:pPr>
        <w:pStyle w:val="a3"/>
        <w:adjustRightInd w:val="0"/>
        <w:snapToGrid w:val="0"/>
        <w:spacing w:before="93" w:line="560" w:lineRule="exact"/>
        <w:ind w:firstLineChars="210" w:firstLine="672"/>
        <w:outlineLvl w:val="2"/>
        <w:rPr>
          <w:rFonts w:hAnsi="仿宋"/>
          <w:bCs/>
          <w:color w:val="000000"/>
          <w:sz w:val="32"/>
          <w:szCs w:val="32"/>
        </w:rPr>
      </w:pPr>
      <w:r w:rsidRPr="00251D85">
        <w:rPr>
          <w:rFonts w:hAnsi="仿宋" w:hint="eastAsia"/>
          <w:bCs/>
          <w:color w:val="000000"/>
          <w:sz w:val="32"/>
          <w:szCs w:val="32"/>
        </w:rPr>
        <w:t>5.主动化解社会矛盾纠纷。受理控告、申诉、举报40件，按照诉访分离原则，控告检察部门通过释法说理、邀请律师参与接访、上级检察机关远程视频接访等方式答复35件，分送本院案件承办部门办理4件，移送纪委监委1件。</w:t>
      </w:r>
    </w:p>
    <w:p w:rsidR="004259E7" w:rsidRPr="00251D85" w:rsidRDefault="002217CF">
      <w:pPr>
        <w:pStyle w:val="a3"/>
        <w:adjustRightInd w:val="0"/>
        <w:snapToGrid w:val="0"/>
        <w:spacing w:before="93" w:line="560" w:lineRule="exact"/>
        <w:ind w:firstLineChars="210" w:firstLine="672"/>
        <w:outlineLvl w:val="2"/>
        <w:rPr>
          <w:rFonts w:hAnsi="仿宋"/>
          <w:bCs/>
          <w:color w:val="000000"/>
          <w:sz w:val="32"/>
          <w:szCs w:val="32"/>
        </w:rPr>
      </w:pPr>
      <w:r w:rsidRPr="00251D85">
        <w:rPr>
          <w:rFonts w:hAnsi="仿宋" w:hint="eastAsia"/>
          <w:bCs/>
          <w:color w:val="000000"/>
          <w:sz w:val="32"/>
          <w:szCs w:val="32"/>
        </w:rPr>
        <w:t>6. 加强诉讼法律监督。贯彻宽严相济刑事政策，依法保障罪轻的人得到从宽处理，对无逮捕必要的20人依法不批准逮捕，对犯罪情节轻微依法不需要判处刑罚的49人不起诉，对71名依法可能判处三年以下有期徒刑的被告人建议人民法院适用缓刑。</w:t>
      </w:r>
    </w:p>
    <w:p w:rsidR="004259E7" w:rsidRPr="00251D85" w:rsidRDefault="002217CF">
      <w:pPr>
        <w:pStyle w:val="a3"/>
        <w:adjustRightInd w:val="0"/>
        <w:snapToGrid w:val="0"/>
        <w:spacing w:before="93" w:line="560" w:lineRule="exact"/>
        <w:ind w:firstLineChars="210" w:firstLine="672"/>
        <w:outlineLvl w:val="2"/>
        <w:rPr>
          <w:rFonts w:hAnsi="仿宋"/>
          <w:bCs/>
          <w:color w:val="000000"/>
          <w:sz w:val="32"/>
          <w:szCs w:val="32"/>
        </w:rPr>
      </w:pPr>
      <w:r w:rsidRPr="00251D85">
        <w:rPr>
          <w:rFonts w:hAnsi="仿宋" w:hint="eastAsia"/>
          <w:bCs/>
          <w:color w:val="000000"/>
          <w:sz w:val="32"/>
          <w:szCs w:val="32"/>
        </w:rPr>
        <w:t>7. 加强未成年人司法保护。严厉打击侵害未成年人的各类刑事犯罪，批捕1件1人，起诉1件1人。严格贯彻落实少捕、慎诉、少监禁原则，对罪行严重的未成年人依法批捕2人、起诉7人，对未造成严重后果的未成年犯罪嫌疑人不批捕2人、不起诉2人。</w:t>
      </w:r>
    </w:p>
    <w:p w:rsidR="004259E7" w:rsidRPr="00251D85" w:rsidRDefault="002217CF">
      <w:pPr>
        <w:pStyle w:val="a3"/>
        <w:adjustRightInd w:val="0"/>
        <w:snapToGrid w:val="0"/>
        <w:spacing w:before="93" w:line="560" w:lineRule="exact"/>
        <w:ind w:firstLineChars="210" w:firstLine="672"/>
        <w:outlineLvl w:val="2"/>
        <w:rPr>
          <w:rFonts w:hAnsi="仿宋"/>
          <w:bCs/>
          <w:color w:val="000000"/>
          <w:sz w:val="32"/>
          <w:szCs w:val="32"/>
        </w:rPr>
      </w:pPr>
      <w:r w:rsidRPr="00251D85">
        <w:rPr>
          <w:rFonts w:hAnsi="仿宋" w:hint="eastAsia"/>
          <w:bCs/>
          <w:color w:val="000000"/>
          <w:sz w:val="32"/>
          <w:szCs w:val="32"/>
        </w:rPr>
        <w:t>8. 加强检察便民服务建设。改建网上网下检察机关统一对外的综合服务平台——12309检察服务中心，开通12309检察服务热线，向案件当事人、律师和人民群众提供案件信息查询、法律文书公开、案件受理、控告申诉、国家赔偿、</w:t>
      </w:r>
      <w:r w:rsidRPr="00251D85">
        <w:rPr>
          <w:rFonts w:hAnsi="仿宋" w:hint="eastAsia"/>
          <w:bCs/>
          <w:color w:val="000000"/>
          <w:sz w:val="32"/>
          <w:szCs w:val="32"/>
        </w:rPr>
        <w:lastRenderedPageBreak/>
        <w:t>法律咨询等一站式综合检察服务。</w:t>
      </w:r>
    </w:p>
    <w:p w:rsidR="004259E7" w:rsidRDefault="002217CF">
      <w:pPr>
        <w:pStyle w:val="2"/>
        <w:numPr>
          <w:ilvl w:val="0"/>
          <w:numId w:val="2"/>
        </w:numPr>
        <w:spacing w:line="560" w:lineRule="exact"/>
        <w:rPr>
          <w:rStyle w:val="2Char"/>
        </w:rPr>
      </w:pPr>
      <w:bookmarkStart w:id="20" w:name="_Toc15396601"/>
      <w:bookmarkStart w:id="21" w:name="_Toc15377200"/>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8F7F1A" w:rsidRDefault="008F7F1A">
      <w:pPr>
        <w:pStyle w:val="a3"/>
        <w:adjustRightInd w:val="0"/>
        <w:snapToGrid w:val="0"/>
        <w:spacing w:before="93" w:line="560" w:lineRule="exact"/>
        <w:ind w:firstLineChars="150" w:firstLine="480"/>
        <w:outlineLvl w:val="2"/>
        <w:rPr>
          <w:rFonts w:ascii="黑体" w:eastAsia="黑体" w:hAnsi="黑体"/>
          <w:bCs/>
          <w:color w:val="000000"/>
          <w:kern w:val="44"/>
          <w:sz w:val="44"/>
          <w:szCs w:val="44"/>
        </w:rPr>
      </w:pPr>
      <w:r w:rsidRPr="008F7F1A">
        <w:rPr>
          <w:rFonts w:hAnsi="仿宋" w:hint="eastAsia"/>
          <w:bCs/>
          <w:color w:val="FF0000"/>
          <w:sz w:val="32"/>
          <w:szCs w:val="32"/>
        </w:rPr>
        <w:t>雅安市名山区人民检察院</w:t>
      </w:r>
      <w:r w:rsidR="002217CF" w:rsidRPr="008F7F1A">
        <w:rPr>
          <w:rFonts w:hAnsi="仿宋" w:hint="eastAsia"/>
          <w:bCs/>
          <w:color w:val="FF0000"/>
          <w:sz w:val="32"/>
          <w:szCs w:val="32"/>
        </w:rPr>
        <w:t>下属二级单位</w:t>
      </w:r>
      <w:r w:rsidRPr="008F7F1A">
        <w:rPr>
          <w:rFonts w:hAnsi="仿宋" w:hint="eastAsia"/>
          <w:bCs/>
          <w:color w:val="FF0000"/>
          <w:sz w:val="32"/>
          <w:szCs w:val="32"/>
        </w:rPr>
        <w:t>0个，其中行政单位0个，参照公务员管理的事业单位0个，其他事业单位0个。</w:t>
      </w:r>
    </w:p>
    <w:p w:rsidR="008F7F1A" w:rsidRDefault="008F7F1A" w:rsidP="008F7F1A">
      <w:pPr>
        <w:pStyle w:val="a3"/>
        <w:adjustRightInd w:val="0"/>
        <w:snapToGrid w:val="0"/>
        <w:spacing w:before="93" w:line="560" w:lineRule="exact"/>
        <w:ind w:firstLineChars="150" w:firstLine="480"/>
        <w:outlineLvl w:val="2"/>
        <w:rPr>
          <w:rFonts w:hAnsi="仿宋"/>
          <w:bCs/>
          <w:color w:val="FF0000"/>
          <w:sz w:val="32"/>
          <w:szCs w:val="32"/>
        </w:rPr>
      </w:pPr>
      <w:r w:rsidRPr="008F7F1A">
        <w:rPr>
          <w:rFonts w:hAnsi="仿宋" w:hint="eastAsia"/>
          <w:bCs/>
          <w:color w:val="FF0000"/>
          <w:sz w:val="32"/>
          <w:szCs w:val="32"/>
        </w:rPr>
        <w:t xml:space="preserve"> 纳入雅安市名山</w:t>
      </w:r>
      <w:bookmarkStart w:id="22" w:name="_Toc15377204"/>
      <w:bookmarkStart w:id="23" w:name="_Toc15396602"/>
      <w:r>
        <w:rPr>
          <w:rFonts w:hAnsi="仿宋" w:hint="eastAsia"/>
          <w:bCs/>
          <w:color w:val="FF0000"/>
          <w:sz w:val="32"/>
          <w:szCs w:val="32"/>
        </w:rPr>
        <w:t>人民检察院部门决算编制范围的预算单位包括：雅安市名山区人民检察院（本级）。</w:t>
      </w:r>
    </w:p>
    <w:p w:rsidR="008F7F1A" w:rsidRDefault="008F7F1A" w:rsidP="008F7F1A">
      <w:pPr>
        <w:pStyle w:val="a3"/>
        <w:adjustRightInd w:val="0"/>
        <w:snapToGrid w:val="0"/>
        <w:spacing w:before="93" w:line="560" w:lineRule="exact"/>
        <w:ind w:firstLineChars="150" w:firstLine="660"/>
        <w:outlineLvl w:val="2"/>
        <w:rPr>
          <w:rFonts w:ascii="黑体" w:eastAsia="黑体" w:hAnsi="黑体"/>
          <w:bCs/>
          <w:color w:val="000000"/>
          <w:kern w:val="44"/>
          <w:sz w:val="44"/>
          <w:szCs w:val="44"/>
        </w:rPr>
      </w:pPr>
    </w:p>
    <w:p w:rsidR="004259E7" w:rsidRPr="008F7F1A" w:rsidRDefault="002217CF" w:rsidP="008F7F1A">
      <w:pPr>
        <w:pStyle w:val="a3"/>
        <w:adjustRightInd w:val="0"/>
        <w:snapToGrid w:val="0"/>
        <w:spacing w:before="93" w:line="560" w:lineRule="exact"/>
        <w:ind w:firstLineChars="150" w:firstLine="663"/>
        <w:outlineLvl w:val="2"/>
        <w:rPr>
          <w:rStyle w:val="1Char"/>
          <w:rFonts w:ascii="黑体" w:eastAsia="黑体" w:hAnsi="黑体"/>
          <w:b w:val="0"/>
          <w:color w:val="000000"/>
        </w:rPr>
      </w:pPr>
      <w:r w:rsidRPr="008F7F1A">
        <w:rPr>
          <w:rStyle w:val="1Char"/>
          <w:rFonts w:ascii="黑体" w:hAnsi="黑体" w:hint="eastAsia"/>
        </w:rPr>
        <w:t>第二部分</w:t>
      </w:r>
      <w:r>
        <w:rPr>
          <w:rStyle w:val="1Char"/>
          <w:rFonts w:ascii="黑体" w:eastAsia="黑体" w:hAnsi="黑体" w:hint="eastAsia"/>
        </w:rPr>
        <w:t>2019年度部门决算情况说明</w:t>
      </w:r>
      <w:bookmarkEnd w:id="22"/>
      <w:bookmarkEnd w:id="23"/>
    </w:p>
    <w:p w:rsidR="004259E7" w:rsidRPr="00C54CB5" w:rsidRDefault="004259E7">
      <w:pPr>
        <w:spacing w:line="560" w:lineRule="exact"/>
        <w:rPr>
          <w:rFonts w:ascii="黑体" w:eastAsia="黑体"/>
        </w:rPr>
      </w:pPr>
    </w:p>
    <w:p w:rsidR="004259E7" w:rsidRPr="00C54CB5" w:rsidRDefault="002217CF">
      <w:pPr>
        <w:pStyle w:val="11"/>
        <w:numPr>
          <w:ilvl w:val="0"/>
          <w:numId w:val="3"/>
        </w:numPr>
        <w:spacing w:line="560" w:lineRule="exact"/>
        <w:ind w:firstLineChars="0"/>
        <w:outlineLvl w:val="1"/>
        <w:rPr>
          <w:rStyle w:val="2Char"/>
          <w:rFonts w:ascii="黑体" w:eastAsia="黑体" w:hAnsi="黑体"/>
          <w:b w:val="0"/>
        </w:rPr>
      </w:pPr>
      <w:bookmarkStart w:id="24" w:name="_Toc15396603"/>
      <w:bookmarkStart w:id="25" w:name="_Toc15377205"/>
      <w:r w:rsidRPr="00C54CB5">
        <w:rPr>
          <w:rFonts w:ascii="黑体" w:eastAsia="黑体" w:hAnsi="黑体" w:hint="eastAsia"/>
          <w:color w:val="000000"/>
          <w:sz w:val="32"/>
          <w:szCs w:val="32"/>
        </w:rPr>
        <w:t>收</w:t>
      </w:r>
      <w:r w:rsidRPr="00C54CB5">
        <w:rPr>
          <w:rStyle w:val="2Char"/>
          <w:rFonts w:ascii="黑体" w:eastAsia="黑体" w:hAnsi="黑体" w:hint="eastAsia"/>
          <w:b w:val="0"/>
        </w:rPr>
        <w:t>入支出决算总体情况说明</w:t>
      </w:r>
      <w:bookmarkEnd w:id="24"/>
      <w:bookmarkEnd w:id="25"/>
    </w:p>
    <w:p w:rsidR="004259E7" w:rsidRPr="00251D85" w:rsidRDefault="002217CF">
      <w:pPr>
        <w:spacing w:line="560" w:lineRule="exact"/>
        <w:ind w:firstLineChars="200" w:firstLine="640"/>
        <w:rPr>
          <w:rFonts w:ascii="仿宋_GB2312" w:eastAsia="仿宋_GB2312" w:hAnsi="仿宋"/>
          <w:color w:val="000000"/>
          <w:sz w:val="32"/>
          <w:szCs w:val="32"/>
        </w:rPr>
      </w:pPr>
      <w:r w:rsidRPr="00251D85">
        <w:rPr>
          <w:rFonts w:ascii="仿宋_GB2312" w:eastAsia="仿宋_GB2312" w:hAnsi="仿宋" w:hint="eastAsia"/>
          <w:color w:val="000000"/>
          <w:sz w:val="32"/>
          <w:szCs w:val="32"/>
        </w:rPr>
        <w:t>2019年度收、支总计627.34万元。与2018年相比，收、支总计减少20.45万元，减少3.16%。主要变动原因是人员减少引起的工资和经费支出减少。</w:t>
      </w:r>
    </w:p>
    <w:p w:rsidR="004259E7" w:rsidRPr="00251D85" w:rsidRDefault="002217CF">
      <w:pPr>
        <w:spacing w:line="560" w:lineRule="exact"/>
        <w:ind w:firstLineChars="200" w:firstLine="640"/>
        <w:rPr>
          <w:rFonts w:ascii="仿宋_GB2312" w:eastAsia="仿宋_GB2312" w:hAnsi="仿宋"/>
          <w:color w:val="000000" w:themeColor="text1"/>
          <w:sz w:val="32"/>
          <w:szCs w:val="32"/>
        </w:rPr>
      </w:pPr>
      <w:r w:rsidRPr="00251D85">
        <w:rPr>
          <w:rFonts w:ascii="仿宋_GB2312" w:eastAsia="仿宋_GB2312" w:hAnsi="仿宋" w:hint="eastAsia"/>
          <w:color w:val="000000" w:themeColor="text1"/>
          <w:sz w:val="32"/>
          <w:szCs w:val="32"/>
        </w:rPr>
        <w:t>（图1：收、支决算总计变动情况图）（柱状图）</w:t>
      </w:r>
    </w:p>
    <w:p w:rsidR="004259E7" w:rsidRDefault="002217CF">
      <w:pPr>
        <w:ind w:firstLineChars="200" w:firstLine="640"/>
        <w:jc w:val="left"/>
        <w:rPr>
          <w:rFonts w:ascii="仿宋_GB2312" w:eastAsia="仿宋_GB2312"/>
          <w:color w:val="000000"/>
          <w:sz w:val="32"/>
          <w:szCs w:val="32"/>
        </w:rPr>
      </w:pPr>
      <w:r>
        <w:rPr>
          <w:rFonts w:ascii="仿宋_GB2312" w:eastAsia="仿宋_GB2312"/>
          <w:noProof/>
          <w:color w:val="000000"/>
          <w:sz w:val="32"/>
          <w:szCs w:val="32"/>
        </w:rPr>
        <w:drawing>
          <wp:inline distT="0" distB="0" distL="0" distR="0">
            <wp:extent cx="3352800" cy="1933575"/>
            <wp:effectExtent l="0" t="0" r="0" b="0"/>
            <wp:docPr id="3"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59E7" w:rsidRPr="00C54CB5" w:rsidRDefault="002217CF">
      <w:pPr>
        <w:pStyle w:val="11"/>
        <w:numPr>
          <w:ilvl w:val="0"/>
          <w:numId w:val="3"/>
        </w:numPr>
        <w:spacing w:line="560" w:lineRule="exact"/>
        <w:ind w:firstLineChars="0"/>
        <w:outlineLvl w:val="1"/>
        <w:rPr>
          <w:rStyle w:val="2Char"/>
          <w:rFonts w:ascii="黑体" w:eastAsia="黑体" w:hAnsi="黑体"/>
          <w:b w:val="0"/>
        </w:rPr>
      </w:pPr>
      <w:bookmarkStart w:id="26" w:name="_Toc15377206"/>
      <w:bookmarkStart w:id="27" w:name="_Toc15396604"/>
      <w:r w:rsidRPr="00C54CB5">
        <w:rPr>
          <w:rFonts w:ascii="黑体" w:eastAsia="黑体" w:hAnsi="黑体" w:hint="eastAsia"/>
          <w:color w:val="000000"/>
          <w:sz w:val="32"/>
          <w:szCs w:val="32"/>
        </w:rPr>
        <w:t>收</w:t>
      </w:r>
      <w:r w:rsidRPr="00C54CB5">
        <w:rPr>
          <w:rStyle w:val="2Char"/>
          <w:rFonts w:ascii="黑体" w:eastAsia="黑体" w:hAnsi="黑体" w:hint="eastAsia"/>
          <w:b w:val="0"/>
        </w:rPr>
        <w:t>入决算情况说明</w:t>
      </w:r>
      <w:bookmarkEnd w:id="26"/>
      <w:bookmarkEnd w:id="27"/>
    </w:p>
    <w:p w:rsidR="004259E7" w:rsidRPr="008F7F1A" w:rsidRDefault="002217CF">
      <w:pPr>
        <w:spacing w:line="600" w:lineRule="exact"/>
        <w:ind w:firstLineChars="200" w:firstLine="640"/>
        <w:outlineLvl w:val="1"/>
        <w:rPr>
          <w:rFonts w:ascii="仿宋_GB2312" w:eastAsia="仿宋_GB2312" w:hAnsi="仿宋"/>
          <w:color w:val="FF0000"/>
          <w:sz w:val="32"/>
          <w:szCs w:val="32"/>
        </w:rPr>
      </w:pPr>
      <w:r w:rsidRPr="008F7F1A">
        <w:rPr>
          <w:rFonts w:ascii="仿宋_GB2312" w:eastAsia="仿宋_GB2312" w:hAnsi="仿宋" w:hint="eastAsia"/>
          <w:color w:val="FF0000"/>
          <w:sz w:val="32"/>
          <w:szCs w:val="32"/>
        </w:rPr>
        <w:t>2019年本年收入合计627.34万元，其中：一般公共预</w:t>
      </w:r>
      <w:r w:rsidRPr="008F7F1A">
        <w:rPr>
          <w:rFonts w:ascii="仿宋_GB2312" w:eastAsia="仿宋_GB2312" w:hAnsi="仿宋" w:hint="eastAsia"/>
          <w:color w:val="FF0000"/>
          <w:sz w:val="32"/>
          <w:szCs w:val="32"/>
        </w:rPr>
        <w:lastRenderedPageBreak/>
        <w:t>算财政拨款收入627.31万元，占99.99%</w:t>
      </w:r>
      <w:r w:rsidR="008F7F1A">
        <w:rPr>
          <w:rFonts w:ascii="仿宋_GB2312" w:eastAsia="仿宋_GB2312" w:hAnsi="仿宋" w:hint="eastAsia"/>
          <w:color w:val="FF0000"/>
          <w:sz w:val="32"/>
          <w:szCs w:val="32"/>
        </w:rPr>
        <w:t>；</w:t>
      </w:r>
      <w:r w:rsidRPr="008F7F1A">
        <w:rPr>
          <w:rFonts w:ascii="仿宋_GB2312" w:eastAsia="仿宋_GB2312" w:hAnsi="仿宋" w:hint="eastAsia"/>
          <w:color w:val="FF0000"/>
          <w:sz w:val="32"/>
          <w:szCs w:val="32"/>
        </w:rPr>
        <w:t>其他收入0.03万元，占0.01%。</w:t>
      </w:r>
    </w:p>
    <w:p w:rsidR="004259E7" w:rsidRPr="008F7F1A" w:rsidRDefault="002217CF" w:rsidP="008F7F1A">
      <w:pPr>
        <w:spacing w:line="560" w:lineRule="exact"/>
        <w:ind w:firstLineChars="200" w:firstLine="640"/>
        <w:rPr>
          <w:rFonts w:ascii="仿宋_GB2312" w:eastAsia="仿宋_GB2312" w:hAnsi="仿宋"/>
          <w:color w:val="000000" w:themeColor="text1"/>
          <w:sz w:val="32"/>
          <w:szCs w:val="32"/>
        </w:rPr>
      </w:pPr>
      <w:r w:rsidRPr="00251D85">
        <w:rPr>
          <w:rFonts w:ascii="仿宋_GB2312" w:eastAsia="仿宋_GB2312" w:hAnsi="仿宋" w:hint="eastAsia"/>
          <w:color w:val="000000" w:themeColor="text1"/>
          <w:sz w:val="32"/>
          <w:szCs w:val="32"/>
        </w:rPr>
        <w:t>（图2：收入决算结构图）（饼状图）</w:t>
      </w:r>
    </w:p>
    <w:p w:rsidR="004259E7" w:rsidRDefault="004259E7">
      <w:pPr>
        <w:ind w:firstLineChars="200" w:firstLine="640"/>
        <w:rPr>
          <w:rFonts w:ascii="仿宋_GB2312" w:eastAsia="仿宋_GB2312"/>
          <w:color w:val="000000"/>
          <w:sz w:val="32"/>
          <w:szCs w:val="32"/>
        </w:rPr>
      </w:pPr>
    </w:p>
    <w:p w:rsidR="004259E7" w:rsidRDefault="002217CF">
      <w:pPr>
        <w:ind w:firstLineChars="200" w:firstLine="640"/>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59264" behindDoc="1" locked="0" layoutInCell="1" allowOverlap="1">
            <wp:simplePos x="0" y="0"/>
            <wp:positionH relativeFrom="column">
              <wp:posOffset>476250</wp:posOffset>
            </wp:positionH>
            <wp:positionV relativeFrom="paragraph">
              <wp:posOffset>-190500</wp:posOffset>
            </wp:positionV>
            <wp:extent cx="4573270" cy="2743200"/>
            <wp:effectExtent l="19050" t="0" r="17780" b="0"/>
            <wp:wrapNone/>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259E7" w:rsidRDefault="004259E7">
      <w:pPr>
        <w:ind w:firstLineChars="200" w:firstLine="640"/>
        <w:rPr>
          <w:rFonts w:ascii="仿宋_GB2312" w:eastAsia="仿宋_GB2312"/>
          <w:color w:val="000000"/>
          <w:sz w:val="32"/>
          <w:szCs w:val="32"/>
        </w:rPr>
      </w:pPr>
    </w:p>
    <w:p w:rsidR="004259E7" w:rsidRDefault="004259E7">
      <w:pPr>
        <w:ind w:firstLineChars="200" w:firstLine="640"/>
        <w:rPr>
          <w:rFonts w:ascii="仿宋_GB2312" w:eastAsia="仿宋_GB2312"/>
          <w:color w:val="000000"/>
          <w:sz w:val="32"/>
          <w:szCs w:val="32"/>
        </w:rPr>
      </w:pPr>
    </w:p>
    <w:p w:rsidR="004259E7" w:rsidRDefault="004259E7">
      <w:pPr>
        <w:ind w:firstLineChars="200" w:firstLine="640"/>
        <w:rPr>
          <w:rFonts w:ascii="仿宋_GB2312" w:eastAsia="仿宋_GB2312"/>
          <w:color w:val="000000"/>
          <w:sz w:val="32"/>
          <w:szCs w:val="32"/>
        </w:rPr>
      </w:pPr>
    </w:p>
    <w:p w:rsidR="004259E7" w:rsidRDefault="004259E7">
      <w:pPr>
        <w:ind w:firstLineChars="200" w:firstLine="640"/>
        <w:rPr>
          <w:rFonts w:ascii="仿宋_GB2312" w:eastAsia="仿宋_GB2312"/>
          <w:color w:val="000000"/>
          <w:sz w:val="32"/>
          <w:szCs w:val="32"/>
        </w:rPr>
      </w:pPr>
    </w:p>
    <w:p w:rsidR="004259E7" w:rsidRDefault="004259E7">
      <w:pPr>
        <w:ind w:firstLineChars="200" w:firstLine="640"/>
        <w:rPr>
          <w:rFonts w:ascii="仿宋_GB2312" w:eastAsia="仿宋_GB2312"/>
          <w:color w:val="000000"/>
          <w:sz w:val="32"/>
          <w:szCs w:val="32"/>
        </w:rPr>
      </w:pPr>
    </w:p>
    <w:p w:rsidR="004259E7" w:rsidRDefault="004259E7">
      <w:pPr>
        <w:ind w:firstLineChars="200" w:firstLine="640"/>
        <w:rPr>
          <w:rFonts w:ascii="仿宋_GB2312" w:eastAsia="仿宋_GB2312"/>
          <w:color w:val="000000"/>
          <w:sz w:val="32"/>
          <w:szCs w:val="32"/>
        </w:rPr>
      </w:pPr>
    </w:p>
    <w:p w:rsidR="004259E7" w:rsidRPr="00C54CB5" w:rsidRDefault="002217CF">
      <w:pPr>
        <w:pStyle w:val="11"/>
        <w:numPr>
          <w:ilvl w:val="0"/>
          <w:numId w:val="3"/>
        </w:numPr>
        <w:spacing w:line="560" w:lineRule="exact"/>
        <w:ind w:firstLineChars="0"/>
        <w:outlineLvl w:val="1"/>
        <w:rPr>
          <w:rStyle w:val="2Char"/>
          <w:rFonts w:ascii="黑体" w:eastAsia="黑体" w:hAnsi="黑体"/>
          <w:b w:val="0"/>
        </w:rPr>
      </w:pPr>
      <w:bookmarkStart w:id="28" w:name="_Toc15396605"/>
      <w:bookmarkStart w:id="29" w:name="_Toc15377207"/>
      <w:r w:rsidRPr="00C54CB5">
        <w:rPr>
          <w:rFonts w:ascii="黑体" w:eastAsia="黑体" w:hAnsi="黑体" w:hint="eastAsia"/>
          <w:color w:val="000000"/>
          <w:sz w:val="32"/>
          <w:szCs w:val="32"/>
        </w:rPr>
        <w:t>支</w:t>
      </w:r>
      <w:r w:rsidRPr="00C54CB5">
        <w:rPr>
          <w:rStyle w:val="2Char"/>
          <w:rFonts w:ascii="黑体" w:eastAsia="黑体" w:hAnsi="黑体" w:hint="eastAsia"/>
          <w:b w:val="0"/>
        </w:rPr>
        <w:t>出决算情况说明</w:t>
      </w:r>
      <w:bookmarkEnd w:id="28"/>
      <w:bookmarkEnd w:id="29"/>
    </w:p>
    <w:p w:rsidR="004259E7" w:rsidRPr="008F7F1A" w:rsidRDefault="002217CF">
      <w:pPr>
        <w:spacing w:line="560" w:lineRule="exact"/>
        <w:ind w:firstLine="640"/>
        <w:rPr>
          <w:rFonts w:ascii="仿宋_GB2312" w:eastAsia="仿宋_GB2312" w:hAnsi="仿宋"/>
          <w:color w:val="FF0000"/>
          <w:sz w:val="32"/>
          <w:szCs w:val="32"/>
          <w:shd w:val="pct10" w:color="auto" w:fill="FFFFFF"/>
        </w:rPr>
      </w:pPr>
      <w:r w:rsidRPr="008F7F1A">
        <w:rPr>
          <w:rFonts w:ascii="仿宋_GB2312" w:eastAsia="仿宋_GB2312" w:hAnsi="仿宋" w:hint="eastAsia"/>
          <w:color w:val="FF0000"/>
          <w:sz w:val="32"/>
          <w:szCs w:val="32"/>
        </w:rPr>
        <w:t>2019年本年支出合计627.34万元，其中：基本支出627.34万元，占100%。</w:t>
      </w:r>
    </w:p>
    <w:p w:rsidR="004259E7" w:rsidRPr="00251D85" w:rsidRDefault="002217CF">
      <w:pPr>
        <w:spacing w:line="560" w:lineRule="exact"/>
        <w:ind w:firstLineChars="200" w:firstLine="640"/>
        <w:rPr>
          <w:rFonts w:ascii="仿宋_GB2312" w:eastAsia="仿宋_GB2312" w:hAnsi="仿宋"/>
          <w:color w:val="000000" w:themeColor="text1"/>
          <w:sz w:val="32"/>
          <w:szCs w:val="32"/>
        </w:rPr>
      </w:pPr>
      <w:r w:rsidRPr="00251D85">
        <w:rPr>
          <w:rFonts w:ascii="仿宋_GB2312" w:eastAsia="仿宋_GB2312" w:hAnsi="仿宋" w:hint="eastAsia"/>
          <w:color w:val="000000" w:themeColor="text1"/>
          <w:sz w:val="32"/>
          <w:szCs w:val="32"/>
        </w:rPr>
        <w:t>（图3：支出决算结构图）（饼状图）</w:t>
      </w:r>
    </w:p>
    <w:p w:rsidR="004259E7" w:rsidRDefault="004259E7">
      <w:pPr>
        <w:rPr>
          <w:rFonts w:ascii="仿宋_GB2312" w:eastAsia="仿宋_GB2312"/>
          <w:color w:val="000000"/>
          <w:sz w:val="32"/>
          <w:szCs w:val="32"/>
        </w:rPr>
      </w:pPr>
    </w:p>
    <w:p w:rsidR="004259E7" w:rsidRDefault="002217CF">
      <w:pPr>
        <w:ind w:firstLineChars="200" w:firstLine="640"/>
        <w:rPr>
          <w:rFonts w:ascii="仿宋_GB2312" w:eastAsia="仿宋_GB2312"/>
          <w:color w:val="000000"/>
          <w:sz w:val="32"/>
          <w:szCs w:val="32"/>
        </w:rPr>
      </w:pPr>
      <w:r>
        <w:rPr>
          <w:rFonts w:ascii="仿宋_GB2312" w:eastAsia="仿宋_GB2312"/>
          <w:noProof/>
          <w:color w:val="000000"/>
          <w:sz w:val="32"/>
          <w:szCs w:val="32"/>
        </w:rPr>
        <w:lastRenderedPageBreak/>
        <w:drawing>
          <wp:inline distT="0" distB="0" distL="0" distR="0">
            <wp:extent cx="4572000" cy="2743200"/>
            <wp:effectExtent l="19050" t="0" r="19050" b="0"/>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59E7" w:rsidRDefault="002217CF">
      <w:pPr>
        <w:spacing w:line="56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4259E7" w:rsidRPr="00251D85" w:rsidRDefault="002217CF">
      <w:pPr>
        <w:spacing w:line="560" w:lineRule="exact"/>
        <w:ind w:firstLineChars="200" w:firstLine="640"/>
        <w:rPr>
          <w:rFonts w:ascii="仿宋_GB2312" w:eastAsia="仿宋_GB2312" w:hAnsi="仿宋"/>
          <w:color w:val="000000"/>
          <w:sz w:val="32"/>
          <w:szCs w:val="32"/>
        </w:rPr>
      </w:pPr>
      <w:r w:rsidRPr="00251D85">
        <w:rPr>
          <w:rFonts w:ascii="仿宋_GB2312" w:eastAsia="仿宋_GB2312" w:hAnsi="仿宋" w:hint="eastAsia"/>
          <w:color w:val="000000"/>
          <w:sz w:val="32"/>
          <w:szCs w:val="32"/>
        </w:rPr>
        <w:t>2019年财政拨款收、支总计1254.62万元。与2018年相比，财政拨款收、支总计减少40.96万元，减少3.16%。主要变动原因是人员减少引起的工资和经费减少。</w:t>
      </w:r>
    </w:p>
    <w:p w:rsidR="004259E7" w:rsidRPr="00251D85" w:rsidRDefault="002217CF">
      <w:pPr>
        <w:spacing w:line="560" w:lineRule="exact"/>
        <w:ind w:firstLineChars="200" w:firstLine="640"/>
        <w:rPr>
          <w:rFonts w:ascii="仿宋_GB2312" w:eastAsia="仿宋_GB2312" w:hAnsi="仿宋"/>
          <w:color w:val="000000" w:themeColor="text1"/>
          <w:sz w:val="32"/>
          <w:szCs w:val="32"/>
        </w:rPr>
      </w:pPr>
      <w:r w:rsidRPr="00251D85">
        <w:rPr>
          <w:rFonts w:ascii="仿宋_GB2312" w:eastAsia="仿宋_GB2312" w:hAnsi="仿宋" w:hint="eastAsia"/>
          <w:color w:val="000000" w:themeColor="text1"/>
          <w:sz w:val="32"/>
          <w:szCs w:val="32"/>
        </w:rPr>
        <w:t>（图4：财政拨款收、支决算总计变动情况）（柱状图）</w:t>
      </w:r>
    </w:p>
    <w:p w:rsidR="004259E7" w:rsidRDefault="002217CF">
      <w:pPr>
        <w:ind w:firstLineChars="200" w:firstLine="640"/>
        <w:rPr>
          <w:rFonts w:ascii="仿宋" w:eastAsia="仿宋" w:hAnsi="仿宋"/>
          <w:color w:val="000000" w:themeColor="text1"/>
          <w:sz w:val="32"/>
          <w:szCs w:val="32"/>
        </w:rPr>
      </w:pPr>
      <w:r>
        <w:rPr>
          <w:rFonts w:ascii="仿宋_GB2312" w:eastAsia="仿宋_GB2312"/>
          <w:noProof/>
          <w:color w:val="000000"/>
          <w:sz w:val="32"/>
          <w:szCs w:val="32"/>
        </w:rPr>
        <w:drawing>
          <wp:inline distT="0" distB="0" distL="0" distR="0">
            <wp:extent cx="3371850" cy="1933575"/>
            <wp:effectExtent l="0" t="0" r="0" b="0"/>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59E7" w:rsidRDefault="002217CF">
      <w:pPr>
        <w:spacing w:line="56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4259E7" w:rsidRPr="00C54CB5" w:rsidRDefault="002217CF" w:rsidP="00C54CB5">
      <w:pPr>
        <w:spacing w:line="560" w:lineRule="exact"/>
        <w:ind w:firstLineChars="200" w:firstLine="640"/>
        <w:outlineLvl w:val="2"/>
        <w:rPr>
          <w:rFonts w:ascii="楷体_GB2312" w:eastAsia="楷体_GB2312" w:hAnsi="仿宋"/>
          <w:color w:val="000000"/>
          <w:sz w:val="32"/>
          <w:szCs w:val="32"/>
        </w:rPr>
      </w:pPr>
      <w:bookmarkStart w:id="34" w:name="_Toc15377210"/>
      <w:r w:rsidRPr="00C54CB5">
        <w:rPr>
          <w:rFonts w:ascii="楷体_GB2312" w:eastAsia="楷体_GB2312" w:hAnsi="仿宋" w:hint="eastAsia"/>
          <w:color w:val="000000"/>
          <w:sz w:val="32"/>
          <w:szCs w:val="32"/>
        </w:rPr>
        <w:t>（一）一般公共预算财政拨款支出决算总体情况</w:t>
      </w:r>
      <w:bookmarkEnd w:id="34"/>
    </w:p>
    <w:p w:rsidR="004259E7" w:rsidRPr="00251D85" w:rsidRDefault="002217CF">
      <w:pPr>
        <w:spacing w:line="560" w:lineRule="exact"/>
        <w:ind w:firstLineChars="200" w:firstLine="640"/>
        <w:rPr>
          <w:rFonts w:ascii="仿宋_GB2312" w:eastAsia="仿宋_GB2312" w:hAnsi="仿宋"/>
          <w:color w:val="000000"/>
          <w:sz w:val="32"/>
          <w:szCs w:val="32"/>
        </w:rPr>
      </w:pPr>
      <w:r w:rsidRPr="00251D85">
        <w:rPr>
          <w:rFonts w:ascii="仿宋_GB2312" w:eastAsia="仿宋_GB2312" w:hAnsi="仿宋" w:hint="eastAsia"/>
          <w:color w:val="000000"/>
          <w:sz w:val="32"/>
          <w:szCs w:val="32"/>
        </w:rPr>
        <w:t>2019年一般公共预算财政拨款支出627.31万元，占本年支出合计的99%。与2018年相比，一般公共预算财政拨款减少20.28万元，下降3.13%。主要变动原因是人员减少引起的工资和经费减少。</w:t>
      </w:r>
    </w:p>
    <w:p w:rsidR="004259E7" w:rsidRPr="00251D85" w:rsidRDefault="002217CF">
      <w:pPr>
        <w:spacing w:line="560" w:lineRule="exact"/>
        <w:ind w:firstLineChars="200" w:firstLine="640"/>
        <w:rPr>
          <w:rFonts w:ascii="仿宋_GB2312" w:eastAsia="仿宋_GB2312" w:hAnsi="仿宋"/>
          <w:color w:val="000000" w:themeColor="text1"/>
          <w:sz w:val="32"/>
          <w:szCs w:val="32"/>
        </w:rPr>
      </w:pPr>
      <w:r w:rsidRPr="00251D85">
        <w:rPr>
          <w:rFonts w:ascii="仿宋_GB2312" w:eastAsia="仿宋_GB2312" w:hAnsi="仿宋" w:hint="eastAsia"/>
          <w:color w:val="000000" w:themeColor="text1"/>
          <w:sz w:val="32"/>
          <w:szCs w:val="32"/>
        </w:rPr>
        <w:lastRenderedPageBreak/>
        <w:t>（图5：一般公共预算财政拨款支出决算变动情况）（柱状图）</w:t>
      </w:r>
    </w:p>
    <w:p w:rsidR="004259E7" w:rsidRDefault="002217CF">
      <w:pPr>
        <w:ind w:firstLineChars="200" w:firstLine="640"/>
        <w:rPr>
          <w:rFonts w:ascii="仿宋" w:eastAsia="仿宋" w:hAnsi="仿宋"/>
          <w:color w:val="000000" w:themeColor="text1"/>
          <w:sz w:val="32"/>
          <w:szCs w:val="32"/>
        </w:rPr>
      </w:pPr>
      <w:r>
        <w:rPr>
          <w:rFonts w:ascii="仿宋_GB2312" w:eastAsia="仿宋_GB2312"/>
          <w:noProof/>
          <w:color w:val="000000"/>
          <w:sz w:val="32"/>
          <w:szCs w:val="32"/>
        </w:rPr>
        <w:drawing>
          <wp:inline distT="0" distB="0" distL="0" distR="0">
            <wp:extent cx="3371850" cy="1933575"/>
            <wp:effectExtent l="0" t="0" r="0" b="0"/>
            <wp:docPr id="10"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59E7" w:rsidRPr="00C54CB5" w:rsidRDefault="002217CF" w:rsidP="00C54CB5">
      <w:pPr>
        <w:spacing w:line="560" w:lineRule="exact"/>
        <w:ind w:firstLineChars="200" w:firstLine="640"/>
        <w:outlineLvl w:val="2"/>
        <w:rPr>
          <w:rFonts w:ascii="楷体_GB2312" w:eastAsia="楷体_GB2312" w:hAnsi="仿宋"/>
          <w:color w:val="000000"/>
          <w:sz w:val="32"/>
          <w:szCs w:val="32"/>
        </w:rPr>
      </w:pPr>
      <w:bookmarkStart w:id="35" w:name="_Toc15377211"/>
      <w:r w:rsidRPr="00C54CB5">
        <w:rPr>
          <w:rFonts w:ascii="楷体_GB2312" w:eastAsia="楷体_GB2312" w:hAnsi="仿宋" w:hint="eastAsia"/>
          <w:color w:val="000000"/>
          <w:sz w:val="32"/>
          <w:szCs w:val="32"/>
        </w:rPr>
        <w:t>（二）一般公共预算财政拨款支出决算结构情况</w:t>
      </w:r>
      <w:bookmarkEnd w:id="35"/>
    </w:p>
    <w:p w:rsidR="004259E7" w:rsidRPr="00251D85" w:rsidRDefault="002217CF">
      <w:pPr>
        <w:spacing w:line="560" w:lineRule="exact"/>
        <w:ind w:firstLine="640"/>
        <w:rPr>
          <w:rFonts w:ascii="仿宋_GB2312" w:eastAsia="仿宋_GB2312" w:hAnsi="仿宋"/>
          <w:color w:val="000000" w:themeColor="text1"/>
          <w:sz w:val="32"/>
          <w:szCs w:val="32"/>
        </w:rPr>
      </w:pPr>
      <w:r w:rsidRPr="00251D85">
        <w:rPr>
          <w:rFonts w:ascii="仿宋_GB2312" w:eastAsia="仿宋_GB2312" w:hAnsi="仿宋" w:hint="eastAsia"/>
          <w:color w:val="000000"/>
          <w:sz w:val="32"/>
          <w:szCs w:val="32"/>
        </w:rPr>
        <w:t>2019年一般公共预算财</w:t>
      </w:r>
      <w:r w:rsidRPr="00251D85">
        <w:rPr>
          <w:rFonts w:ascii="仿宋_GB2312" w:eastAsia="仿宋_GB2312" w:hAnsi="仿宋" w:hint="eastAsia"/>
          <w:color w:val="000000" w:themeColor="text1"/>
          <w:sz w:val="32"/>
          <w:szCs w:val="32"/>
        </w:rPr>
        <w:t>政拨款支出627.31万元，主要用于以下方面:</w:t>
      </w:r>
      <w:r w:rsidRPr="00251D85">
        <w:rPr>
          <w:rFonts w:ascii="仿宋_GB2312" w:eastAsia="仿宋_GB2312" w:hAnsi="仿宋" w:hint="eastAsia"/>
          <w:b/>
          <w:color w:val="000000" w:themeColor="text1"/>
          <w:sz w:val="32"/>
          <w:szCs w:val="32"/>
        </w:rPr>
        <w:t>公共安全（类）</w:t>
      </w:r>
      <w:r w:rsidRPr="00251D85">
        <w:rPr>
          <w:rFonts w:ascii="仿宋_GB2312" w:eastAsia="仿宋_GB2312" w:hAnsi="仿宋" w:hint="eastAsia"/>
          <w:color w:val="000000" w:themeColor="text1"/>
          <w:sz w:val="32"/>
          <w:szCs w:val="32"/>
        </w:rPr>
        <w:t>支出558.3万元，占89%；</w:t>
      </w:r>
      <w:r w:rsidRPr="00251D85">
        <w:rPr>
          <w:rFonts w:ascii="仿宋_GB2312" w:eastAsia="仿宋_GB2312" w:hAnsi="仿宋" w:hint="eastAsia"/>
          <w:b/>
          <w:color w:val="000000" w:themeColor="text1"/>
          <w:sz w:val="32"/>
          <w:szCs w:val="32"/>
        </w:rPr>
        <w:t>社会保障和就业支出（类）</w:t>
      </w:r>
      <w:r w:rsidRPr="00251D85">
        <w:rPr>
          <w:rFonts w:ascii="仿宋_GB2312" w:eastAsia="仿宋_GB2312" w:hAnsi="仿宋" w:hint="eastAsia"/>
          <w:color w:val="000000" w:themeColor="text1"/>
          <w:sz w:val="32"/>
          <w:szCs w:val="32"/>
        </w:rPr>
        <w:t>44.08万元，占7.03%；</w:t>
      </w:r>
      <w:r w:rsidRPr="00251D85">
        <w:rPr>
          <w:rFonts w:ascii="仿宋_GB2312" w:eastAsia="仿宋_GB2312" w:hAnsi="仿宋" w:hint="eastAsia"/>
          <w:b/>
          <w:color w:val="000000" w:themeColor="text1"/>
          <w:sz w:val="32"/>
          <w:szCs w:val="32"/>
        </w:rPr>
        <w:t>医疗卫生与计划生育支出（类）</w:t>
      </w:r>
      <w:r w:rsidRPr="00251D85">
        <w:rPr>
          <w:rFonts w:ascii="仿宋_GB2312" w:eastAsia="仿宋_GB2312" w:hAnsi="仿宋" w:hint="eastAsia"/>
          <w:color w:val="000000" w:themeColor="text1"/>
          <w:sz w:val="32"/>
          <w:szCs w:val="32"/>
        </w:rPr>
        <w:t>支出24.93万元，占3.97%。</w:t>
      </w:r>
    </w:p>
    <w:p w:rsidR="004259E7" w:rsidRDefault="002217C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4259E7" w:rsidRDefault="002217CF">
      <w:pPr>
        <w:ind w:firstLineChars="200" w:firstLine="640"/>
        <w:rPr>
          <w:rFonts w:ascii="仿宋" w:eastAsia="仿宋" w:hAnsi="仿宋"/>
          <w:color w:val="000000"/>
          <w:sz w:val="32"/>
          <w:szCs w:val="32"/>
        </w:rPr>
      </w:pPr>
      <w:r>
        <w:rPr>
          <w:rFonts w:ascii="仿宋_GB2312" w:eastAsia="仿宋_GB2312"/>
          <w:noProof/>
          <w:color w:val="000000"/>
          <w:sz w:val="32"/>
          <w:szCs w:val="32"/>
        </w:rPr>
        <w:drawing>
          <wp:inline distT="0" distB="0" distL="0" distR="0">
            <wp:extent cx="4781550" cy="2771775"/>
            <wp:effectExtent l="0" t="0" r="0" b="0"/>
            <wp:docPr id="13" name="对象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36" w:name="_Toc15377212"/>
    </w:p>
    <w:p w:rsidR="004259E7" w:rsidRPr="00C54CB5" w:rsidRDefault="002217CF" w:rsidP="00C54CB5">
      <w:pPr>
        <w:spacing w:line="560" w:lineRule="exact"/>
        <w:ind w:firstLineChars="200" w:firstLine="640"/>
        <w:outlineLvl w:val="2"/>
        <w:rPr>
          <w:rFonts w:ascii="楷体_GB2312" w:eastAsia="楷体_GB2312" w:hAnsi="仿宋"/>
          <w:color w:val="000000"/>
          <w:sz w:val="32"/>
          <w:szCs w:val="32"/>
        </w:rPr>
      </w:pPr>
      <w:r w:rsidRPr="00C54CB5">
        <w:rPr>
          <w:rFonts w:ascii="楷体_GB2312" w:eastAsia="楷体_GB2312" w:hAnsi="仿宋" w:hint="eastAsia"/>
          <w:color w:val="000000"/>
          <w:sz w:val="32"/>
          <w:szCs w:val="32"/>
        </w:rPr>
        <w:t>（三）一般公共预算财政拨款支出决算具体情况</w:t>
      </w:r>
      <w:bookmarkEnd w:id="36"/>
    </w:p>
    <w:p w:rsidR="004259E7" w:rsidRPr="00251D85" w:rsidRDefault="002217CF" w:rsidP="00251D85">
      <w:pPr>
        <w:spacing w:line="560" w:lineRule="exact"/>
        <w:ind w:firstLineChars="200" w:firstLine="643"/>
        <w:outlineLvl w:val="2"/>
        <w:rPr>
          <w:rFonts w:ascii="仿宋_GB2312" w:eastAsia="仿宋_GB2312" w:hAnsi="仿宋"/>
          <w:color w:val="FF0000"/>
          <w:sz w:val="32"/>
          <w:szCs w:val="32"/>
        </w:rPr>
      </w:pPr>
      <w:bookmarkStart w:id="37" w:name="_Toc15377213"/>
      <w:bookmarkStart w:id="38" w:name="_Toc15377444"/>
      <w:bookmarkStart w:id="39" w:name="_Toc15378460"/>
      <w:r w:rsidRPr="00251D85">
        <w:rPr>
          <w:rFonts w:ascii="仿宋_GB2312" w:eastAsia="仿宋_GB2312" w:hAnsi="仿宋" w:hint="eastAsia"/>
          <w:b/>
          <w:color w:val="000000" w:themeColor="text1"/>
          <w:sz w:val="32"/>
          <w:szCs w:val="32"/>
        </w:rPr>
        <w:t>2019年一般公共预算支出决算数为627.31万元</w:t>
      </w:r>
      <w:r w:rsidRPr="00251D85">
        <w:rPr>
          <w:rFonts w:ascii="仿宋_GB2312" w:eastAsia="仿宋_GB2312" w:hAnsi="仿宋" w:hint="eastAsia"/>
          <w:color w:val="000000" w:themeColor="text1"/>
          <w:sz w:val="32"/>
          <w:szCs w:val="32"/>
        </w:rPr>
        <w:t>，</w:t>
      </w:r>
      <w:r w:rsidRPr="00251D85">
        <w:rPr>
          <w:rStyle w:val="a7"/>
          <w:rFonts w:ascii="仿宋_GB2312" w:eastAsia="仿宋_GB2312" w:hAnsi="仿宋" w:hint="eastAsia"/>
          <w:bCs/>
          <w:color w:val="000000" w:themeColor="text1"/>
          <w:sz w:val="32"/>
          <w:szCs w:val="32"/>
        </w:rPr>
        <w:t>完成</w:t>
      </w:r>
      <w:r w:rsidRPr="00251D85">
        <w:rPr>
          <w:rStyle w:val="a7"/>
          <w:rFonts w:ascii="仿宋_GB2312" w:eastAsia="仿宋_GB2312" w:hAnsi="仿宋" w:hint="eastAsia"/>
          <w:bCs/>
          <w:color w:val="000000"/>
          <w:sz w:val="32"/>
          <w:szCs w:val="32"/>
        </w:rPr>
        <w:t>预算100%其中：</w:t>
      </w:r>
      <w:bookmarkEnd w:id="37"/>
      <w:bookmarkEnd w:id="38"/>
      <w:bookmarkEnd w:id="39"/>
    </w:p>
    <w:p w:rsidR="004259E7" w:rsidRPr="00251D85" w:rsidRDefault="002217CF" w:rsidP="00251D85">
      <w:pPr>
        <w:spacing w:line="560" w:lineRule="exact"/>
        <w:ind w:firstLineChars="200" w:firstLine="643"/>
        <w:rPr>
          <w:rStyle w:val="a7"/>
          <w:rFonts w:ascii="仿宋_GB2312" w:eastAsia="仿宋_GB2312"/>
        </w:rPr>
      </w:pPr>
      <w:r w:rsidRPr="00251D85">
        <w:rPr>
          <w:rStyle w:val="a7"/>
          <w:rFonts w:ascii="仿宋_GB2312" w:eastAsia="仿宋_GB2312" w:hAnsi="仿宋" w:hint="eastAsia"/>
          <w:bCs/>
          <w:color w:val="000000"/>
          <w:sz w:val="32"/>
          <w:szCs w:val="32"/>
        </w:rPr>
        <w:lastRenderedPageBreak/>
        <w:t>1.公共安全（类）检察（款）行政运行（项）:</w:t>
      </w:r>
      <w:r w:rsidRPr="00251D85">
        <w:rPr>
          <w:rStyle w:val="a7"/>
          <w:rFonts w:ascii="仿宋_GB2312" w:eastAsia="仿宋_GB2312" w:hAnsi="仿宋" w:hint="eastAsia"/>
          <w:b w:val="0"/>
          <w:bCs/>
          <w:color w:val="000000"/>
          <w:sz w:val="32"/>
          <w:szCs w:val="32"/>
        </w:rPr>
        <w:t>支出决算为558.3万元，完成预算</w:t>
      </w:r>
      <w:r w:rsidR="00B4124A">
        <w:rPr>
          <w:rStyle w:val="a7"/>
          <w:rFonts w:ascii="仿宋_GB2312" w:eastAsia="仿宋_GB2312" w:hAnsi="仿宋" w:hint="eastAsia"/>
          <w:b w:val="0"/>
          <w:bCs/>
          <w:color w:val="000000"/>
          <w:sz w:val="32"/>
          <w:szCs w:val="32"/>
        </w:rPr>
        <w:t>100</w:t>
      </w:r>
      <w:r w:rsidRPr="00251D85">
        <w:rPr>
          <w:rStyle w:val="a7"/>
          <w:rFonts w:ascii="仿宋_GB2312" w:eastAsia="仿宋_GB2312" w:hAnsi="仿宋" w:hint="eastAsia"/>
          <w:b w:val="0"/>
          <w:bCs/>
          <w:color w:val="000000"/>
          <w:sz w:val="32"/>
          <w:szCs w:val="32"/>
        </w:rPr>
        <w:t>%。</w:t>
      </w:r>
      <w:r w:rsidR="008F7F1A">
        <w:rPr>
          <w:rStyle w:val="a7"/>
          <w:rFonts w:ascii="仿宋_GB2312" w:eastAsia="仿宋_GB2312" w:hAnsi="仿宋" w:hint="eastAsia"/>
          <w:b w:val="0"/>
          <w:bCs/>
          <w:color w:val="FF0000"/>
          <w:sz w:val="32"/>
          <w:szCs w:val="32"/>
        </w:rPr>
        <w:t>决算数</w:t>
      </w:r>
      <w:r w:rsidR="00B4124A">
        <w:rPr>
          <w:rStyle w:val="a7"/>
          <w:rFonts w:ascii="仿宋_GB2312" w:eastAsia="仿宋_GB2312" w:hAnsi="仿宋" w:hint="eastAsia"/>
          <w:b w:val="0"/>
          <w:bCs/>
          <w:color w:val="FF0000"/>
          <w:sz w:val="32"/>
          <w:szCs w:val="32"/>
        </w:rPr>
        <w:t>等于</w:t>
      </w:r>
      <w:r w:rsidR="008F7F1A">
        <w:rPr>
          <w:rStyle w:val="a7"/>
          <w:rFonts w:ascii="仿宋_GB2312" w:eastAsia="仿宋_GB2312" w:hAnsi="仿宋" w:hint="eastAsia"/>
          <w:b w:val="0"/>
          <w:bCs/>
          <w:color w:val="FF0000"/>
          <w:sz w:val="32"/>
          <w:szCs w:val="32"/>
        </w:rPr>
        <w:t>预算数的原因是</w:t>
      </w:r>
      <w:r w:rsidR="00B4124A">
        <w:rPr>
          <w:rStyle w:val="a7"/>
          <w:rFonts w:ascii="仿宋_GB2312" w:eastAsia="仿宋_GB2312" w:hAnsi="仿宋" w:hint="eastAsia"/>
          <w:b w:val="0"/>
          <w:bCs/>
          <w:color w:val="FF0000"/>
          <w:sz w:val="32"/>
          <w:szCs w:val="32"/>
        </w:rPr>
        <w:t>控制支出</w:t>
      </w:r>
      <w:r w:rsidR="00A75762">
        <w:rPr>
          <w:rStyle w:val="a7"/>
          <w:rFonts w:ascii="仿宋_GB2312" w:eastAsia="仿宋_GB2312" w:hAnsi="仿宋" w:hint="eastAsia"/>
          <w:b w:val="0"/>
          <w:bCs/>
          <w:color w:val="FF0000"/>
          <w:sz w:val="32"/>
          <w:szCs w:val="32"/>
        </w:rPr>
        <w:t>，</w:t>
      </w:r>
      <w:r w:rsidR="00B4124A">
        <w:rPr>
          <w:rStyle w:val="a7"/>
          <w:rFonts w:ascii="仿宋_GB2312" w:eastAsia="仿宋_GB2312" w:hAnsi="仿宋" w:hint="eastAsia"/>
          <w:b w:val="0"/>
          <w:bCs/>
          <w:color w:val="FF0000"/>
          <w:sz w:val="32"/>
          <w:szCs w:val="32"/>
        </w:rPr>
        <w:t>实现收支平衡</w:t>
      </w:r>
      <w:r w:rsidR="008F7F1A">
        <w:rPr>
          <w:rStyle w:val="a7"/>
          <w:rFonts w:ascii="仿宋_GB2312" w:eastAsia="仿宋_GB2312" w:hAnsi="仿宋" w:hint="eastAsia"/>
          <w:b w:val="0"/>
          <w:bCs/>
          <w:color w:val="FF0000"/>
          <w:sz w:val="32"/>
          <w:szCs w:val="32"/>
        </w:rPr>
        <w:t>。</w:t>
      </w:r>
    </w:p>
    <w:p w:rsidR="00B4124A" w:rsidRPr="00251D85" w:rsidRDefault="002217CF" w:rsidP="00B4124A">
      <w:pPr>
        <w:spacing w:line="560" w:lineRule="exact"/>
        <w:ind w:firstLineChars="200" w:firstLine="643"/>
        <w:rPr>
          <w:rStyle w:val="a7"/>
          <w:rFonts w:ascii="仿宋_GB2312" w:eastAsia="仿宋_GB2312"/>
        </w:rPr>
      </w:pPr>
      <w:r w:rsidRPr="00251D85">
        <w:rPr>
          <w:rStyle w:val="a7"/>
          <w:rFonts w:ascii="仿宋_GB2312" w:eastAsia="仿宋_GB2312" w:hAnsi="仿宋" w:hint="eastAsia"/>
          <w:bCs/>
          <w:color w:val="000000"/>
          <w:sz w:val="32"/>
          <w:szCs w:val="32"/>
        </w:rPr>
        <w:t>2.社会保障和就业（类）行政事业单位离退休（款）机关事业单位基本养老保险缴费支出（项）:</w:t>
      </w:r>
      <w:r w:rsidRPr="00251D85">
        <w:rPr>
          <w:rStyle w:val="a7"/>
          <w:rFonts w:ascii="仿宋_GB2312" w:eastAsia="仿宋_GB2312" w:hAnsi="仿宋" w:hint="eastAsia"/>
          <w:b w:val="0"/>
          <w:bCs/>
          <w:color w:val="000000"/>
          <w:sz w:val="32"/>
          <w:szCs w:val="32"/>
        </w:rPr>
        <w:t>支出决算为44.08万元，</w:t>
      </w:r>
      <w:r w:rsidRPr="00B4124A">
        <w:rPr>
          <w:rStyle w:val="a7"/>
          <w:rFonts w:ascii="仿宋_GB2312" w:eastAsia="仿宋_GB2312" w:hAnsi="仿宋" w:hint="eastAsia"/>
          <w:b w:val="0"/>
          <w:bCs/>
          <w:color w:val="FF0000"/>
          <w:sz w:val="32"/>
          <w:szCs w:val="32"/>
        </w:rPr>
        <w:t>完成预算</w:t>
      </w:r>
      <w:r w:rsidR="00B4124A">
        <w:rPr>
          <w:rStyle w:val="a7"/>
          <w:rFonts w:ascii="仿宋_GB2312" w:eastAsia="仿宋_GB2312" w:hAnsi="仿宋" w:hint="eastAsia"/>
          <w:b w:val="0"/>
          <w:bCs/>
          <w:color w:val="FF0000"/>
          <w:sz w:val="32"/>
          <w:szCs w:val="32"/>
        </w:rPr>
        <w:t>100</w:t>
      </w:r>
      <w:r w:rsidRPr="00B4124A">
        <w:rPr>
          <w:rStyle w:val="a7"/>
          <w:rFonts w:ascii="仿宋_GB2312" w:eastAsia="仿宋_GB2312" w:hAnsi="仿宋" w:hint="eastAsia"/>
          <w:b w:val="0"/>
          <w:bCs/>
          <w:color w:val="FF0000"/>
          <w:sz w:val="32"/>
          <w:szCs w:val="32"/>
        </w:rPr>
        <w:t>%。</w:t>
      </w:r>
      <w:r w:rsidR="00B4124A">
        <w:rPr>
          <w:rStyle w:val="a7"/>
          <w:rFonts w:ascii="仿宋_GB2312" w:eastAsia="仿宋_GB2312" w:hAnsi="仿宋" w:hint="eastAsia"/>
          <w:b w:val="0"/>
          <w:bCs/>
          <w:color w:val="FF0000"/>
          <w:sz w:val="32"/>
          <w:szCs w:val="32"/>
        </w:rPr>
        <w:t>决算数等于预算数的原因是控制支出</w:t>
      </w:r>
      <w:r w:rsidR="00A75762">
        <w:rPr>
          <w:rStyle w:val="a7"/>
          <w:rFonts w:ascii="仿宋_GB2312" w:eastAsia="仿宋_GB2312" w:hAnsi="仿宋" w:hint="eastAsia"/>
          <w:b w:val="0"/>
          <w:bCs/>
          <w:color w:val="FF0000"/>
          <w:sz w:val="32"/>
          <w:szCs w:val="32"/>
        </w:rPr>
        <w:t>，</w:t>
      </w:r>
      <w:r w:rsidR="00B4124A">
        <w:rPr>
          <w:rStyle w:val="a7"/>
          <w:rFonts w:ascii="仿宋_GB2312" w:eastAsia="仿宋_GB2312" w:hAnsi="仿宋" w:hint="eastAsia"/>
          <w:b w:val="0"/>
          <w:bCs/>
          <w:color w:val="FF0000"/>
          <w:sz w:val="32"/>
          <w:szCs w:val="32"/>
        </w:rPr>
        <w:t>实现收支平衡。</w:t>
      </w:r>
    </w:p>
    <w:p w:rsidR="00B4124A" w:rsidRPr="00251D85" w:rsidRDefault="002217CF" w:rsidP="00B4124A">
      <w:pPr>
        <w:spacing w:line="560" w:lineRule="exact"/>
        <w:ind w:firstLineChars="200" w:firstLine="643"/>
        <w:rPr>
          <w:rStyle w:val="a7"/>
          <w:rFonts w:ascii="仿宋_GB2312" w:eastAsia="仿宋_GB2312"/>
        </w:rPr>
      </w:pPr>
      <w:r w:rsidRPr="00251D85">
        <w:rPr>
          <w:rStyle w:val="a7"/>
          <w:rFonts w:ascii="仿宋_GB2312" w:eastAsia="仿宋_GB2312" w:hAnsi="仿宋" w:hint="eastAsia"/>
          <w:bCs/>
          <w:color w:val="000000"/>
          <w:sz w:val="32"/>
          <w:szCs w:val="32"/>
        </w:rPr>
        <w:t>3.医疗卫生与计划生育（类）行政事业单位医疗（款）行政单位医疗（项）：</w:t>
      </w:r>
      <w:r w:rsidRPr="00251D85">
        <w:rPr>
          <w:rStyle w:val="a7"/>
          <w:rFonts w:ascii="仿宋_GB2312" w:eastAsia="仿宋_GB2312" w:hAnsi="仿宋" w:hint="eastAsia"/>
          <w:b w:val="0"/>
          <w:bCs/>
          <w:color w:val="000000"/>
          <w:sz w:val="32"/>
          <w:szCs w:val="32"/>
        </w:rPr>
        <w:t>支出决算为18.41万元</w:t>
      </w:r>
      <w:r w:rsidR="006942CD" w:rsidRPr="006942CD">
        <w:rPr>
          <w:rStyle w:val="a7"/>
          <w:rFonts w:ascii="仿宋_GB2312" w:eastAsia="仿宋_GB2312" w:hAnsi="仿宋" w:hint="eastAsia"/>
          <w:b w:val="0"/>
          <w:bCs/>
          <w:color w:val="FF0000"/>
          <w:sz w:val="32"/>
          <w:szCs w:val="32"/>
        </w:rPr>
        <w:t>，</w:t>
      </w:r>
      <w:r w:rsidR="00B4124A" w:rsidRPr="006942CD">
        <w:rPr>
          <w:rStyle w:val="a7"/>
          <w:rFonts w:ascii="仿宋_GB2312" w:eastAsia="仿宋_GB2312" w:hAnsi="仿宋" w:hint="eastAsia"/>
          <w:b w:val="0"/>
          <w:bCs/>
          <w:color w:val="FF0000"/>
          <w:sz w:val="32"/>
          <w:szCs w:val="32"/>
        </w:rPr>
        <w:t>完</w:t>
      </w:r>
      <w:r w:rsidR="00B4124A" w:rsidRPr="00B4124A">
        <w:rPr>
          <w:rStyle w:val="a7"/>
          <w:rFonts w:ascii="仿宋_GB2312" w:eastAsia="仿宋_GB2312" w:hAnsi="仿宋" w:hint="eastAsia"/>
          <w:b w:val="0"/>
          <w:bCs/>
          <w:color w:val="FF0000"/>
          <w:sz w:val="32"/>
          <w:szCs w:val="32"/>
        </w:rPr>
        <w:t>成预算数</w:t>
      </w:r>
      <w:r w:rsidR="00B4124A">
        <w:rPr>
          <w:rStyle w:val="a7"/>
          <w:rFonts w:ascii="仿宋_GB2312" w:eastAsia="仿宋_GB2312" w:hAnsi="仿宋" w:hint="eastAsia"/>
          <w:b w:val="0"/>
          <w:bCs/>
          <w:color w:val="FF0000"/>
          <w:sz w:val="32"/>
          <w:szCs w:val="32"/>
        </w:rPr>
        <w:t>100%</w:t>
      </w:r>
      <w:r w:rsidR="00B4124A" w:rsidRPr="00B4124A">
        <w:rPr>
          <w:rStyle w:val="a7"/>
          <w:rFonts w:ascii="仿宋_GB2312" w:eastAsia="仿宋_GB2312" w:hAnsi="仿宋" w:hint="eastAsia"/>
          <w:b w:val="0"/>
          <w:bCs/>
          <w:color w:val="FF0000"/>
          <w:sz w:val="32"/>
          <w:szCs w:val="32"/>
        </w:rPr>
        <w:t>。</w:t>
      </w:r>
      <w:r w:rsidR="00B4124A">
        <w:rPr>
          <w:rStyle w:val="a7"/>
          <w:rFonts w:ascii="仿宋_GB2312" w:eastAsia="仿宋_GB2312" w:hAnsi="仿宋" w:hint="eastAsia"/>
          <w:b w:val="0"/>
          <w:bCs/>
          <w:color w:val="FF0000"/>
          <w:sz w:val="32"/>
          <w:szCs w:val="32"/>
        </w:rPr>
        <w:t>决算数等于预算数的原因是控制支出</w:t>
      </w:r>
      <w:r w:rsidR="00A75762">
        <w:rPr>
          <w:rStyle w:val="a7"/>
          <w:rFonts w:ascii="仿宋_GB2312" w:eastAsia="仿宋_GB2312" w:hAnsi="仿宋" w:hint="eastAsia"/>
          <w:b w:val="0"/>
          <w:bCs/>
          <w:color w:val="FF0000"/>
          <w:sz w:val="32"/>
          <w:szCs w:val="32"/>
        </w:rPr>
        <w:t>，</w:t>
      </w:r>
      <w:r w:rsidR="00B4124A">
        <w:rPr>
          <w:rStyle w:val="a7"/>
          <w:rFonts w:ascii="仿宋_GB2312" w:eastAsia="仿宋_GB2312" w:hAnsi="仿宋" w:hint="eastAsia"/>
          <w:b w:val="0"/>
          <w:bCs/>
          <w:color w:val="FF0000"/>
          <w:sz w:val="32"/>
          <w:szCs w:val="32"/>
        </w:rPr>
        <w:t>实现收支平衡。</w:t>
      </w:r>
    </w:p>
    <w:p w:rsidR="004259E7" w:rsidRPr="00251D85" w:rsidRDefault="002217CF" w:rsidP="00B4124A">
      <w:pPr>
        <w:spacing w:line="560" w:lineRule="exact"/>
        <w:ind w:firstLineChars="200" w:firstLine="640"/>
        <w:rPr>
          <w:rStyle w:val="a7"/>
          <w:rFonts w:ascii="仿宋_GB2312" w:eastAsia="仿宋_GB2312" w:hAnsi="仿宋"/>
          <w:b w:val="0"/>
          <w:bCs/>
          <w:color w:val="000000"/>
          <w:sz w:val="32"/>
          <w:szCs w:val="32"/>
        </w:rPr>
      </w:pPr>
      <w:r w:rsidRPr="00251D85">
        <w:rPr>
          <w:rStyle w:val="a7"/>
          <w:rFonts w:ascii="仿宋_GB2312" w:eastAsia="仿宋_GB2312" w:hAnsi="仿宋" w:hint="eastAsia"/>
          <w:b w:val="0"/>
          <w:bCs/>
          <w:color w:val="000000"/>
          <w:sz w:val="32"/>
          <w:szCs w:val="32"/>
        </w:rPr>
        <w:t>4</w:t>
      </w:r>
      <w:r w:rsidRPr="00251D85">
        <w:rPr>
          <w:rStyle w:val="a7"/>
          <w:rFonts w:ascii="仿宋_GB2312" w:eastAsia="仿宋_GB2312" w:hAnsi="仿宋" w:hint="eastAsia"/>
          <w:bCs/>
          <w:color w:val="000000"/>
          <w:sz w:val="32"/>
          <w:szCs w:val="32"/>
        </w:rPr>
        <w:t>.医疗卫生与计划生育（类）行政事业单位医疗（款）公务员医疗补助（项）</w:t>
      </w:r>
      <w:r w:rsidRPr="00251D85">
        <w:rPr>
          <w:rStyle w:val="a7"/>
          <w:rFonts w:ascii="仿宋_GB2312" w:eastAsia="仿宋_GB2312" w:hAnsi="仿宋" w:hint="eastAsia"/>
          <w:b w:val="0"/>
          <w:bCs/>
          <w:color w:val="000000"/>
          <w:sz w:val="32"/>
          <w:szCs w:val="32"/>
        </w:rPr>
        <w:t>：支出决算为6.52万元，完成预算100%。</w:t>
      </w:r>
      <w:r w:rsidR="00B4124A">
        <w:rPr>
          <w:rStyle w:val="a7"/>
          <w:rFonts w:ascii="仿宋_GB2312" w:eastAsia="仿宋_GB2312" w:hAnsi="仿宋" w:hint="eastAsia"/>
          <w:b w:val="0"/>
          <w:bCs/>
          <w:color w:val="FF0000"/>
          <w:sz w:val="32"/>
          <w:szCs w:val="32"/>
        </w:rPr>
        <w:t>决算数等于预算数的原因是控制支出</w:t>
      </w:r>
      <w:r w:rsidR="00A75762">
        <w:rPr>
          <w:rStyle w:val="a7"/>
          <w:rFonts w:ascii="仿宋_GB2312" w:eastAsia="仿宋_GB2312" w:hAnsi="仿宋" w:hint="eastAsia"/>
          <w:b w:val="0"/>
          <w:bCs/>
          <w:color w:val="FF0000"/>
          <w:sz w:val="32"/>
          <w:szCs w:val="32"/>
        </w:rPr>
        <w:t>，</w:t>
      </w:r>
      <w:r w:rsidR="00B4124A">
        <w:rPr>
          <w:rStyle w:val="a7"/>
          <w:rFonts w:ascii="仿宋_GB2312" w:eastAsia="仿宋_GB2312" w:hAnsi="仿宋" w:hint="eastAsia"/>
          <w:b w:val="0"/>
          <w:bCs/>
          <w:color w:val="FF0000"/>
          <w:sz w:val="32"/>
          <w:szCs w:val="32"/>
        </w:rPr>
        <w:t>实现收支平衡。</w:t>
      </w:r>
    </w:p>
    <w:p w:rsidR="004259E7" w:rsidRDefault="002217CF">
      <w:pPr>
        <w:tabs>
          <w:tab w:val="right" w:pos="8306"/>
        </w:tabs>
        <w:spacing w:line="56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4259E7" w:rsidRPr="00251D85" w:rsidRDefault="002217CF">
      <w:pPr>
        <w:spacing w:line="560" w:lineRule="exact"/>
        <w:ind w:firstLine="645"/>
        <w:rPr>
          <w:rFonts w:ascii="仿宋_GB2312" w:eastAsia="仿宋_GB2312" w:hAnsi="仿宋"/>
          <w:color w:val="000000"/>
          <w:sz w:val="32"/>
          <w:szCs w:val="32"/>
        </w:rPr>
      </w:pPr>
      <w:r w:rsidRPr="00251D85">
        <w:rPr>
          <w:rFonts w:ascii="仿宋_GB2312" w:eastAsia="仿宋_GB2312" w:hAnsi="仿宋" w:hint="eastAsia"/>
          <w:color w:val="000000"/>
          <w:sz w:val="32"/>
          <w:szCs w:val="32"/>
        </w:rPr>
        <w:t>2019年一般公共预算财政拨款基本支出627.31万元，其中：</w:t>
      </w:r>
    </w:p>
    <w:p w:rsidR="004259E7" w:rsidRPr="00A75762" w:rsidRDefault="002217CF">
      <w:pPr>
        <w:spacing w:line="560" w:lineRule="exact"/>
        <w:ind w:firstLine="645"/>
        <w:rPr>
          <w:rFonts w:ascii="仿宋_GB2312" w:eastAsia="仿宋_GB2312" w:hAnsi="仿宋"/>
          <w:color w:val="FF0000"/>
          <w:sz w:val="32"/>
          <w:szCs w:val="32"/>
        </w:rPr>
      </w:pPr>
      <w:r w:rsidRPr="00A75762">
        <w:rPr>
          <w:rFonts w:ascii="仿宋_GB2312" w:eastAsia="仿宋_GB2312" w:hAnsi="仿宋" w:hint="eastAsia"/>
          <w:color w:val="FF0000"/>
          <w:sz w:val="32"/>
          <w:szCs w:val="32"/>
        </w:rPr>
        <w:t>人员经费416.13万元，主要包括：基本工资、津贴补贴、奖金、绩效工资、机关事业单位基本养老保险缴费、其他社会保障缴费、其他工资福利支出、退休费、抚恤金、生活补助、</w:t>
      </w:r>
      <w:r w:rsidR="00A75762">
        <w:rPr>
          <w:rFonts w:ascii="仿宋_GB2312" w:eastAsia="仿宋_GB2312" w:hAnsi="仿宋" w:hint="eastAsia"/>
          <w:color w:val="FF0000"/>
          <w:sz w:val="32"/>
          <w:szCs w:val="32"/>
        </w:rPr>
        <w:t>救济费</w:t>
      </w:r>
      <w:r w:rsidRPr="00A75762">
        <w:rPr>
          <w:rFonts w:ascii="仿宋_GB2312" w:eastAsia="仿宋_GB2312" w:hAnsi="仿宋" w:hint="eastAsia"/>
          <w:color w:val="FF0000"/>
          <w:sz w:val="32"/>
          <w:szCs w:val="32"/>
        </w:rPr>
        <w:t>等。</w:t>
      </w:r>
      <w:r w:rsidRPr="00A75762">
        <w:rPr>
          <w:rFonts w:ascii="仿宋_GB2312" w:eastAsia="仿宋_GB2312" w:hAnsi="仿宋" w:hint="eastAsia"/>
          <w:color w:val="FF0000"/>
          <w:sz w:val="32"/>
          <w:szCs w:val="32"/>
        </w:rPr>
        <w:br/>
        <w:t xml:space="preserve">　　公用经费211.18万元，主要包括：办公费、手续费、水费、电费、邮电费、取暖费、物业管理费、差旅费、维修（护）费、会议费、培训费、公务接待费、劳务费、工会经费、公务用车运行维护费、其他交通费、其他商品和服务支</w:t>
      </w:r>
      <w:r w:rsidRPr="00A75762">
        <w:rPr>
          <w:rFonts w:ascii="仿宋_GB2312" w:eastAsia="仿宋_GB2312" w:hAnsi="仿宋" w:hint="eastAsia"/>
          <w:color w:val="FF0000"/>
          <w:sz w:val="32"/>
          <w:szCs w:val="32"/>
        </w:rPr>
        <w:lastRenderedPageBreak/>
        <w:t>出、办公设备购置、信息网络及软件购置更新、其他资本性支出等。</w:t>
      </w:r>
    </w:p>
    <w:p w:rsidR="004259E7" w:rsidRDefault="002217CF">
      <w:pPr>
        <w:spacing w:line="56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4259E7" w:rsidRPr="00C54CB5" w:rsidRDefault="002217CF">
      <w:pPr>
        <w:spacing w:line="560" w:lineRule="exact"/>
        <w:ind w:firstLine="640"/>
        <w:outlineLvl w:val="2"/>
        <w:rPr>
          <w:rFonts w:ascii="楷体_GB2312" w:eastAsia="楷体_GB2312" w:hAnsi="仿宋"/>
          <w:color w:val="000000"/>
          <w:sz w:val="32"/>
          <w:szCs w:val="32"/>
        </w:rPr>
      </w:pPr>
      <w:bookmarkStart w:id="44" w:name="_Toc15377216"/>
      <w:r w:rsidRPr="00C54CB5">
        <w:rPr>
          <w:rFonts w:ascii="楷体_GB2312" w:eastAsia="楷体_GB2312" w:hAnsi="仿宋" w:hint="eastAsia"/>
          <w:color w:val="000000"/>
          <w:sz w:val="32"/>
          <w:szCs w:val="32"/>
        </w:rPr>
        <w:t>（一）“三公”经费财政拨款支出决算总体情况说明</w:t>
      </w:r>
      <w:bookmarkEnd w:id="44"/>
    </w:p>
    <w:p w:rsidR="004259E7" w:rsidRPr="00CC6D25" w:rsidRDefault="002217CF">
      <w:pPr>
        <w:spacing w:line="560" w:lineRule="exact"/>
        <w:ind w:firstLine="640"/>
        <w:rPr>
          <w:rFonts w:ascii="仿宋_GB2312" w:eastAsia="仿宋_GB2312" w:hAnsi="仿宋"/>
          <w:color w:val="FF0000"/>
          <w:sz w:val="32"/>
          <w:szCs w:val="32"/>
        </w:rPr>
      </w:pPr>
      <w:r w:rsidRPr="00CC6D25">
        <w:rPr>
          <w:rFonts w:ascii="仿宋_GB2312" w:eastAsia="仿宋_GB2312" w:hAnsi="仿宋" w:hint="eastAsia"/>
          <w:color w:val="FF0000"/>
          <w:sz w:val="32"/>
          <w:szCs w:val="32"/>
        </w:rPr>
        <w:t>2019年“三公”经费财政拨款支出决算为10.09万元，完成预算</w:t>
      </w:r>
      <w:r w:rsidR="00CC6D25" w:rsidRPr="00CC6D25">
        <w:rPr>
          <w:rFonts w:ascii="仿宋_GB2312" w:eastAsia="仿宋_GB2312" w:hAnsi="仿宋" w:hint="eastAsia"/>
          <w:color w:val="FF0000"/>
          <w:sz w:val="32"/>
          <w:szCs w:val="32"/>
        </w:rPr>
        <w:t>100</w:t>
      </w:r>
      <w:r w:rsidRPr="00CC6D25">
        <w:rPr>
          <w:rFonts w:ascii="仿宋_GB2312" w:eastAsia="仿宋_GB2312" w:hAnsi="仿宋" w:hint="eastAsia"/>
          <w:color w:val="FF0000"/>
          <w:sz w:val="32"/>
          <w:szCs w:val="32"/>
        </w:rPr>
        <w:t>%，决算数</w:t>
      </w:r>
      <w:r w:rsidR="00CC6D25" w:rsidRPr="00CC6D25">
        <w:rPr>
          <w:rFonts w:ascii="仿宋_GB2312" w:eastAsia="仿宋_GB2312" w:hAnsi="仿宋" w:hint="eastAsia"/>
          <w:color w:val="FF0000"/>
          <w:sz w:val="32"/>
          <w:szCs w:val="32"/>
        </w:rPr>
        <w:t>等于</w:t>
      </w:r>
      <w:r w:rsidRPr="00CC6D25">
        <w:rPr>
          <w:rFonts w:ascii="仿宋_GB2312" w:eastAsia="仿宋_GB2312" w:hAnsi="仿宋" w:hint="eastAsia"/>
          <w:color w:val="FF0000"/>
          <w:sz w:val="32"/>
          <w:szCs w:val="32"/>
        </w:rPr>
        <w:t>预算数的主要原因是</w:t>
      </w:r>
      <w:r w:rsidR="00CC6D25">
        <w:rPr>
          <w:rFonts w:ascii="仿宋_GB2312" w:eastAsia="仿宋_GB2312" w:hAnsi="仿宋" w:hint="eastAsia"/>
          <w:color w:val="FF0000"/>
          <w:sz w:val="32"/>
          <w:szCs w:val="32"/>
        </w:rPr>
        <w:t>严格控制支出，实现收支平衡</w:t>
      </w:r>
      <w:r w:rsidRPr="00CC6D25">
        <w:rPr>
          <w:rFonts w:ascii="仿宋_GB2312" w:eastAsia="仿宋_GB2312" w:hAnsi="仿宋" w:hint="eastAsia"/>
          <w:color w:val="FF0000"/>
          <w:sz w:val="32"/>
          <w:szCs w:val="32"/>
        </w:rPr>
        <w:t>。</w:t>
      </w:r>
    </w:p>
    <w:p w:rsidR="004259E7" w:rsidRPr="00C54CB5" w:rsidRDefault="002217CF">
      <w:pPr>
        <w:spacing w:line="560" w:lineRule="exact"/>
        <w:ind w:firstLine="640"/>
        <w:outlineLvl w:val="2"/>
        <w:rPr>
          <w:rFonts w:ascii="楷体_GB2312" w:eastAsia="楷体_GB2312" w:hAnsi="仿宋"/>
          <w:color w:val="000000"/>
          <w:sz w:val="32"/>
          <w:szCs w:val="32"/>
        </w:rPr>
      </w:pPr>
      <w:bookmarkStart w:id="45" w:name="_Toc15377217"/>
      <w:r w:rsidRPr="00C54CB5">
        <w:rPr>
          <w:rFonts w:ascii="楷体_GB2312" w:eastAsia="楷体_GB2312" w:hAnsi="仿宋" w:hint="eastAsia"/>
          <w:color w:val="000000"/>
          <w:sz w:val="32"/>
          <w:szCs w:val="32"/>
        </w:rPr>
        <w:t>（二）“三公”经费财政拨款支出决算具体情况说明</w:t>
      </w:r>
      <w:bookmarkEnd w:id="45"/>
    </w:p>
    <w:p w:rsidR="004259E7" w:rsidRPr="00251D85" w:rsidRDefault="002217CF">
      <w:pPr>
        <w:spacing w:line="560" w:lineRule="exact"/>
        <w:ind w:firstLine="640"/>
        <w:rPr>
          <w:rFonts w:ascii="仿宋_GB2312" w:eastAsia="仿宋_GB2312" w:hAnsi="仿宋"/>
          <w:color w:val="000000"/>
          <w:sz w:val="32"/>
          <w:szCs w:val="32"/>
        </w:rPr>
      </w:pPr>
      <w:r w:rsidRPr="00251D85">
        <w:rPr>
          <w:rFonts w:ascii="仿宋_GB2312" w:eastAsia="仿宋_GB2312" w:hAnsi="仿宋" w:hint="eastAsia"/>
          <w:color w:val="000000"/>
          <w:sz w:val="32"/>
          <w:szCs w:val="32"/>
        </w:rPr>
        <w:t>2019年“三公”经费财政拨款支出决算中，因公出国（境）费支出决算0万元，占0%；公务用车购置及运行维护费支出决算7.67万元，占76.02%；公务接待费支出决算2.42万元，占23.98%。具体情况如下：</w:t>
      </w:r>
    </w:p>
    <w:p w:rsidR="004259E7" w:rsidRPr="00251D85" w:rsidRDefault="002217CF">
      <w:pPr>
        <w:spacing w:line="560" w:lineRule="exact"/>
        <w:ind w:firstLine="640"/>
        <w:rPr>
          <w:rFonts w:ascii="仿宋_GB2312" w:eastAsia="仿宋_GB2312" w:hAnsi="仿宋"/>
          <w:color w:val="000000"/>
          <w:sz w:val="32"/>
          <w:szCs w:val="32"/>
        </w:rPr>
      </w:pPr>
      <w:r w:rsidRPr="00251D85">
        <w:rPr>
          <w:rFonts w:ascii="仿宋_GB2312" w:eastAsia="仿宋_GB2312" w:hAnsi="仿宋" w:hint="eastAsia"/>
          <w:color w:val="000000"/>
          <w:sz w:val="32"/>
          <w:szCs w:val="32"/>
        </w:rPr>
        <w:t>（图8：“三公”经费财政拨款支出结构）（饼状图）</w:t>
      </w:r>
    </w:p>
    <w:p w:rsidR="004259E7" w:rsidRDefault="002217CF">
      <w:pPr>
        <w:ind w:firstLine="641"/>
        <w:rPr>
          <w:rFonts w:ascii="仿宋" w:eastAsia="仿宋" w:hAnsi="仿宋"/>
          <w:color w:val="000000"/>
          <w:sz w:val="32"/>
          <w:szCs w:val="32"/>
        </w:rPr>
      </w:pPr>
      <w:r>
        <w:rPr>
          <w:rFonts w:ascii="仿宋_GB2312" w:eastAsia="仿宋_GB2312"/>
          <w:noProof/>
          <w:color w:val="000000"/>
          <w:sz w:val="32"/>
          <w:szCs w:val="32"/>
        </w:rPr>
        <w:drawing>
          <wp:inline distT="0" distB="0" distL="0" distR="0">
            <wp:extent cx="4171950" cy="1952625"/>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59E7" w:rsidRPr="00CC6D25" w:rsidRDefault="002217CF">
      <w:pPr>
        <w:numPr>
          <w:ilvl w:val="0"/>
          <w:numId w:val="4"/>
        </w:numPr>
        <w:spacing w:line="560" w:lineRule="exact"/>
        <w:ind w:firstLine="640"/>
        <w:rPr>
          <w:rFonts w:ascii="仿宋_GB2312" w:eastAsia="仿宋_GB2312" w:hAnsi="仿宋"/>
          <w:color w:val="FF0000"/>
          <w:sz w:val="32"/>
          <w:szCs w:val="32"/>
        </w:rPr>
      </w:pPr>
      <w:r>
        <w:rPr>
          <w:rFonts w:ascii="仿宋_GB2312" w:eastAsia="仿宋_GB2312" w:hAnsi="仿宋" w:hint="eastAsia"/>
          <w:b/>
          <w:color w:val="000000"/>
          <w:sz w:val="32"/>
          <w:szCs w:val="32"/>
        </w:rPr>
        <w:t>因公出国（境）经费支出0万元</w:t>
      </w:r>
      <w:r>
        <w:rPr>
          <w:rFonts w:ascii="仿宋_GB2312" w:eastAsia="仿宋_GB2312" w:hAnsi="仿宋" w:hint="eastAsia"/>
          <w:color w:val="000000"/>
          <w:sz w:val="32"/>
          <w:szCs w:val="32"/>
        </w:rPr>
        <w:t>，</w:t>
      </w:r>
      <w:r>
        <w:rPr>
          <w:rFonts w:ascii="仿宋_GB2312" w:eastAsia="仿宋_GB2312" w:hint="eastAsia"/>
          <w:sz w:val="32"/>
          <w:szCs w:val="32"/>
        </w:rPr>
        <w:t>完成预算0%。</w:t>
      </w:r>
      <w:r>
        <w:rPr>
          <w:rFonts w:ascii="仿宋_GB2312" w:eastAsia="仿宋_GB2312" w:hAnsi="仿宋" w:hint="eastAsia"/>
          <w:color w:val="000000"/>
          <w:sz w:val="32"/>
          <w:szCs w:val="32"/>
        </w:rPr>
        <w:t>全年安排因公出国（境）团组0次，出国（境）0人。</w:t>
      </w:r>
      <w:r w:rsidR="00CC6D25" w:rsidRPr="00CC6D25">
        <w:rPr>
          <w:rFonts w:ascii="仿宋_GB2312" w:eastAsia="仿宋_GB2312" w:hAnsi="仿宋" w:hint="eastAsia"/>
          <w:color w:val="FF0000"/>
          <w:sz w:val="32"/>
          <w:szCs w:val="32"/>
        </w:rPr>
        <w:t>较2018年支出数持平，主要原因是均无因公出国（境）事项</w:t>
      </w:r>
    </w:p>
    <w:p w:rsidR="004259E7" w:rsidRPr="0073476E" w:rsidRDefault="002217CF">
      <w:pPr>
        <w:numPr>
          <w:ilvl w:val="0"/>
          <w:numId w:val="4"/>
        </w:numPr>
        <w:spacing w:line="560" w:lineRule="exact"/>
        <w:ind w:firstLine="640"/>
        <w:rPr>
          <w:rFonts w:ascii="仿宋_GB2312" w:eastAsia="仿宋_GB2312" w:hAnsi="仿宋"/>
          <w:color w:val="FF0000"/>
          <w:sz w:val="32"/>
          <w:szCs w:val="32"/>
        </w:rPr>
      </w:pPr>
      <w:r w:rsidRPr="0073476E">
        <w:rPr>
          <w:rFonts w:ascii="仿宋_GB2312" w:eastAsia="仿宋_GB2312" w:hAnsi="仿宋" w:hint="eastAsia"/>
          <w:b/>
          <w:color w:val="FF0000"/>
          <w:sz w:val="32"/>
          <w:szCs w:val="32"/>
        </w:rPr>
        <w:t>公务用车购置及运行维护费支出</w:t>
      </w:r>
      <w:r w:rsidRPr="0073476E">
        <w:rPr>
          <w:rFonts w:ascii="仿宋_GB2312" w:eastAsia="仿宋_GB2312" w:hAnsi="仿宋" w:hint="eastAsia"/>
          <w:color w:val="FF0000"/>
          <w:sz w:val="32"/>
          <w:szCs w:val="32"/>
        </w:rPr>
        <w:t>7.67万元,</w:t>
      </w:r>
      <w:r w:rsidRPr="0073476E">
        <w:rPr>
          <w:rFonts w:ascii="仿宋_GB2312" w:eastAsia="仿宋_GB2312" w:hint="eastAsia"/>
          <w:color w:val="FF0000"/>
          <w:sz w:val="32"/>
          <w:szCs w:val="32"/>
        </w:rPr>
        <w:t>完成预算</w:t>
      </w:r>
      <w:r w:rsidR="0073476E" w:rsidRPr="0073476E">
        <w:rPr>
          <w:rFonts w:ascii="仿宋_GB2312" w:eastAsia="仿宋_GB2312" w:hint="eastAsia"/>
          <w:color w:val="FF0000"/>
          <w:sz w:val="32"/>
          <w:szCs w:val="32"/>
        </w:rPr>
        <w:t>100</w:t>
      </w:r>
      <w:r w:rsidRPr="0073476E">
        <w:rPr>
          <w:rFonts w:ascii="仿宋_GB2312" w:eastAsia="仿宋_GB2312" w:hint="eastAsia"/>
          <w:color w:val="FF0000"/>
          <w:sz w:val="32"/>
          <w:szCs w:val="32"/>
        </w:rPr>
        <w:t>%。</w:t>
      </w:r>
      <w:r w:rsidRPr="0073476E">
        <w:rPr>
          <w:rFonts w:ascii="仿宋_GB2312" w:eastAsia="仿宋_GB2312" w:hAnsi="仿宋" w:hint="eastAsia"/>
          <w:color w:val="FF0000"/>
          <w:sz w:val="32"/>
          <w:szCs w:val="32"/>
        </w:rPr>
        <w:t>公务用车购置及运行维护费支出决算比2018年减少了0.25万元，减少3.16%。主要原因是本着厉行节约原则</w:t>
      </w:r>
      <w:r w:rsidR="0073476E">
        <w:rPr>
          <w:rFonts w:ascii="仿宋_GB2312" w:eastAsia="仿宋_GB2312" w:hAnsi="仿宋" w:hint="eastAsia"/>
          <w:color w:val="FF0000"/>
          <w:sz w:val="32"/>
          <w:szCs w:val="32"/>
        </w:rPr>
        <w:t>加</w:t>
      </w:r>
      <w:r w:rsidR="0073476E">
        <w:rPr>
          <w:rFonts w:ascii="仿宋_GB2312" w:eastAsia="仿宋_GB2312" w:hAnsi="仿宋" w:hint="eastAsia"/>
          <w:color w:val="FF0000"/>
          <w:sz w:val="32"/>
          <w:szCs w:val="32"/>
        </w:rPr>
        <w:lastRenderedPageBreak/>
        <w:t>强公务用车管理，减少支出</w:t>
      </w:r>
      <w:r w:rsidRPr="0073476E">
        <w:rPr>
          <w:rFonts w:ascii="仿宋_GB2312" w:eastAsia="仿宋_GB2312" w:hAnsi="仿宋" w:hint="eastAsia"/>
          <w:color w:val="FF0000"/>
          <w:sz w:val="32"/>
          <w:szCs w:val="32"/>
        </w:rPr>
        <w:t>。</w:t>
      </w:r>
    </w:p>
    <w:p w:rsidR="004259E7" w:rsidRDefault="002217CF">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其中</w:t>
      </w:r>
      <w:r>
        <w:rPr>
          <w:rFonts w:ascii="仿宋" w:eastAsia="仿宋" w:hAnsi="仿宋" w:hint="eastAsia"/>
          <w:color w:val="000000"/>
          <w:sz w:val="32"/>
          <w:szCs w:val="32"/>
        </w:rPr>
        <w:t>：</w:t>
      </w:r>
      <w:r>
        <w:rPr>
          <w:rFonts w:ascii="仿宋_GB2312" w:eastAsia="仿宋_GB2312" w:hAnsi="仿宋" w:hint="eastAsia"/>
          <w:b/>
          <w:color w:val="000000"/>
          <w:sz w:val="32"/>
          <w:szCs w:val="32"/>
        </w:rPr>
        <w:t>公务用车购置支出</w:t>
      </w:r>
      <w:r>
        <w:rPr>
          <w:rFonts w:ascii="仿宋_GB2312" w:eastAsia="仿宋_GB2312" w:hAnsi="仿宋" w:hint="eastAsia"/>
          <w:color w:val="000000"/>
          <w:sz w:val="32"/>
          <w:szCs w:val="32"/>
        </w:rPr>
        <w:t>0万元。全年按规定更新购置公务用车0辆，其中：轿车0辆、金额0万元，越野车0辆、金额0万元，载客汽车0辆、金额0万元。截至2019年12月底，单位共有公务用车5辆，其中：执法执勤用车4辆，特种专业技术用车1辆。</w:t>
      </w:r>
    </w:p>
    <w:p w:rsidR="004259E7" w:rsidRDefault="002217CF">
      <w:pPr>
        <w:spacing w:line="560" w:lineRule="exact"/>
        <w:ind w:firstLine="640"/>
        <w:rPr>
          <w:rFonts w:ascii="仿宋_GB2312" w:eastAsia="仿宋_GB2312" w:hAnsi="仿宋"/>
          <w:color w:val="000000"/>
          <w:sz w:val="32"/>
          <w:szCs w:val="32"/>
        </w:rPr>
      </w:pPr>
      <w:r>
        <w:rPr>
          <w:rFonts w:ascii="仿宋_GB2312" w:eastAsia="仿宋_GB2312" w:hAnsi="仿宋" w:hint="eastAsia"/>
          <w:b/>
          <w:color w:val="000000"/>
          <w:sz w:val="32"/>
          <w:szCs w:val="32"/>
        </w:rPr>
        <w:t>公务用车运行维护费支</w:t>
      </w:r>
      <w:r>
        <w:rPr>
          <w:rFonts w:ascii="仿宋_GB2312" w:eastAsia="仿宋_GB2312" w:hAnsi="仿宋" w:hint="eastAsia"/>
          <w:color w:val="000000"/>
          <w:sz w:val="32"/>
          <w:szCs w:val="32"/>
        </w:rPr>
        <w:t>出7.67万元。主要用于办案、开庭、脱贫攻坚等所需的公务用车燃料费、维修费、过路过桥费、保险费等支出。</w:t>
      </w:r>
    </w:p>
    <w:p w:rsidR="0073476E" w:rsidRPr="00E15769" w:rsidRDefault="002217CF" w:rsidP="0073476E">
      <w:pPr>
        <w:spacing w:line="600" w:lineRule="exact"/>
        <w:ind w:firstLine="640"/>
        <w:rPr>
          <w:rFonts w:ascii="仿宋_GB2312" w:eastAsia="仿宋_GB2312"/>
          <w:color w:val="FF0000"/>
          <w:sz w:val="32"/>
          <w:szCs w:val="32"/>
        </w:rPr>
      </w:pPr>
      <w:r w:rsidRPr="0073476E">
        <w:rPr>
          <w:rFonts w:ascii="仿宋_GB2312" w:eastAsia="仿宋_GB2312" w:hAnsi="仿宋" w:hint="eastAsia"/>
          <w:color w:val="FF0000"/>
          <w:sz w:val="32"/>
          <w:szCs w:val="32"/>
        </w:rPr>
        <w:t>3.</w:t>
      </w:r>
      <w:r w:rsidRPr="0073476E">
        <w:rPr>
          <w:rFonts w:ascii="仿宋_GB2312" w:eastAsia="仿宋_GB2312" w:hAnsi="仿宋" w:hint="eastAsia"/>
          <w:b/>
          <w:color w:val="FF0000"/>
          <w:sz w:val="32"/>
          <w:szCs w:val="32"/>
        </w:rPr>
        <w:t>公务接待费支出</w:t>
      </w:r>
      <w:r w:rsidRPr="0073476E">
        <w:rPr>
          <w:rFonts w:ascii="仿宋_GB2312" w:eastAsia="仿宋_GB2312" w:hAnsi="仿宋" w:hint="eastAsia"/>
          <w:color w:val="FF0000"/>
          <w:sz w:val="32"/>
          <w:szCs w:val="32"/>
        </w:rPr>
        <w:t>2.42万元，</w:t>
      </w:r>
      <w:r w:rsidRPr="0073476E">
        <w:rPr>
          <w:rFonts w:ascii="仿宋_GB2312" w:eastAsia="仿宋_GB2312" w:hint="eastAsia"/>
          <w:color w:val="FF0000"/>
          <w:sz w:val="32"/>
          <w:szCs w:val="32"/>
        </w:rPr>
        <w:t>完成预算</w:t>
      </w:r>
      <w:r w:rsidR="0073476E">
        <w:rPr>
          <w:rFonts w:ascii="仿宋_GB2312" w:eastAsia="仿宋_GB2312" w:hint="eastAsia"/>
          <w:color w:val="FF0000"/>
          <w:sz w:val="32"/>
          <w:szCs w:val="32"/>
        </w:rPr>
        <w:t>100</w:t>
      </w:r>
      <w:r w:rsidRPr="0073476E">
        <w:rPr>
          <w:rFonts w:ascii="仿宋_GB2312" w:eastAsia="仿宋_GB2312" w:hint="eastAsia"/>
          <w:color w:val="FF0000"/>
          <w:sz w:val="32"/>
          <w:szCs w:val="32"/>
        </w:rPr>
        <w:t>%</w:t>
      </w:r>
      <w:r w:rsidRPr="0073476E">
        <w:rPr>
          <w:rFonts w:ascii="仿宋_GB2312" w:eastAsia="仿宋_GB2312" w:hint="eastAsia"/>
          <w:color w:val="FF0000"/>
        </w:rPr>
        <w:t>。</w:t>
      </w:r>
      <w:r w:rsidRPr="0073476E">
        <w:rPr>
          <w:rFonts w:ascii="仿宋_GB2312" w:eastAsia="仿宋_GB2312" w:hAnsi="仿宋" w:hint="eastAsia"/>
          <w:color w:val="FF0000"/>
          <w:sz w:val="32"/>
          <w:szCs w:val="32"/>
        </w:rPr>
        <w:t>公务接待费支出决算比2018年减少0.63万元，下降20.66%。</w:t>
      </w:r>
      <w:r w:rsidR="0073476E" w:rsidRPr="00E15769">
        <w:rPr>
          <w:rFonts w:ascii="仿宋_GB2312" w:eastAsia="仿宋_GB2312" w:hint="eastAsia"/>
          <w:color w:val="FF0000"/>
          <w:sz w:val="32"/>
          <w:szCs w:val="32"/>
        </w:rPr>
        <w:t>主要原因是本着厉行节约原则严格控制接待标准和次数。</w:t>
      </w:r>
    </w:p>
    <w:p w:rsidR="004259E7" w:rsidRDefault="002217CF" w:rsidP="0073476E">
      <w:pPr>
        <w:spacing w:line="56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主要用于执行公务、开展业务活动开支的交通费、住宿费、用餐费等。国内公务接待33批次，219人次（不包括陪同人员），共计支出2.42万元，具体内容包括：接待上级公务事务餐费。其中：餐费2.42万元。</w:t>
      </w:r>
    </w:p>
    <w:p w:rsidR="004259E7" w:rsidRDefault="002217CF" w:rsidP="00626539">
      <w:pPr>
        <w:spacing w:line="560" w:lineRule="exact"/>
        <w:ind w:firstLineChars="200" w:firstLine="640"/>
        <w:rPr>
          <w:rFonts w:ascii="仿宋_GB2312" w:eastAsia="仿宋_GB2312" w:hAnsi="仿宋"/>
          <w:color w:val="000000"/>
          <w:sz w:val="32"/>
          <w:szCs w:val="32"/>
        </w:rPr>
      </w:pPr>
      <w:r>
        <w:rPr>
          <w:rFonts w:ascii="仿宋" w:eastAsia="仿宋" w:hAnsi="仿宋" w:hint="eastAsia"/>
          <w:b/>
          <w:color w:val="000000"/>
          <w:sz w:val="32"/>
          <w:szCs w:val="32"/>
        </w:rPr>
        <w:t>外事接待支出</w:t>
      </w:r>
      <w:r>
        <w:rPr>
          <w:rFonts w:ascii="仿宋_GB2312" w:eastAsia="仿宋_GB2312" w:hAnsi="仿宋" w:hint="eastAsia"/>
          <w:color w:val="000000"/>
          <w:sz w:val="32"/>
          <w:szCs w:val="32"/>
        </w:rPr>
        <w:t>0万元，外事接待0批次，0人，共计支出0万元。</w:t>
      </w:r>
    </w:p>
    <w:p w:rsidR="004259E7" w:rsidRDefault="002217CF">
      <w:pPr>
        <w:spacing w:line="560" w:lineRule="exact"/>
        <w:ind w:firstLine="640"/>
        <w:rPr>
          <w:rFonts w:ascii="仿宋" w:eastAsia="仿宋" w:hAnsi="仿宋"/>
          <w:color w:val="000000"/>
          <w:sz w:val="32"/>
          <w:szCs w:val="32"/>
        </w:rPr>
      </w:pPr>
      <w:r>
        <w:rPr>
          <w:rFonts w:ascii="仿宋_GB2312" w:eastAsia="仿宋_GB2312" w:hAnsi="仿宋" w:hint="eastAsia"/>
          <w:color w:val="000000"/>
          <w:sz w:val="32"/>
          <w:szCs w:val="32"/>
        </w:rPr>
        <w:t>其他国内公务接待支出2.42万元，主要用于</w:t>
      </w:r>
      <w:bookmarkStart w:id="46" w:name="_Toc15377218"/>
      <w:bookmarkStart w:id="47" w:name="_Toc15396610"/>
      <w:r>
        <w:rPr>
          <w:rFonts w:ascii="仿宋_GB2312" w:eastAsia="仿宋_GB2312" w:hAnsi="仿宋" w:hint="eastAsia"/>
          <w:color w:val="000000"/>
          <w:sz w:val="32"/>
          <w:szCs w:val="32"/>
        </w:rPr>
        <w:t>上级公务事务餐费。</w:t>
      </w:r>
    </w:p>
    <w:p w:rsidR="004259E7" w:rsidRDefault="002217CF">
      <w:pPr>
        <w:spacing w:line="56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4259E7" w:rsidRDefault="002217CF">
      <w:pPr>
        <w:spacing w:line="56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2019年政府性基金预算拨款支出0万元。</w:t>
      </w:r>
    </w:p>
    <w:p w:rsidR="004259E7" w:rsidRDefault="002217CF">
      <w:pPr>
        <w:numPr>
          <w:ilvl w:val="0"/>
          <w:numId w:val="5"/>
        </w:numPr>
        <w:spacing w:line="56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4259E7" w:rsidRDefault="002217CF">
      <w:pPr>
        <w:spacing w:line="560" w:lineRule="exact"/>
        <w:ind w:firstLine="640"/>
        <w:rPr>
          <w:rFonts w:ascii="仿宋_GB2312" w:eastAsia="仿宋_GB2312" w:hAnsi="仿宋"/>
          <w:color w:val="000000"/>
          <w:sz w:val="32"/>
          <w:szCs w:val="32"/>
        </w:rPr>
      </w:pPr>
      <w:r>
        <w:rPr>
          <w:rFonts w:ascii="仿宋_GB2312" w:eastAsia="仿宋_GB2312" w:hint="eastAsia"/>
          <w:color w:val="000000"/>
          <w:sz w:val="32"/>
          <w:szCs w:val="32"/>
        </w:rPr>
        <w:t>2</w:t>
      </w:r>
      <w:r>
        <w:rPr>
          <w:rFonts w:ascii="仿宋_GB2312" w:eastAsia="仿宋_GB2312" w:hAnsi="仿宋" w:hint="eastAsia"/>
          <w:color w:val="000000"/>
          <w:sz w:val="32"/>
          <w:szCs w:val="32"/>
        </w:rPr>
        <w:t>019年国有资本经营预算拨款支出0万元。</w:t>
      </w:r>
    </w:p>
    <w:p w:rsidR="004259E7" w:rsidRDefault="00302091">
      <w:pPr>
        <w:pStyle w:val="11"/>
        <w:numPr>
          <w:ilvl w:val="0"/>
          <w:numId w:val="6"/>
        </w:numPr>
        <w:spacing w:line="560" w:lineRule="exact"/>
        <w:ind w:firstLineChars="0"/>
        <w:rPr>
          <w:rStyle w:val="2Char"/>
          <w:rFonts w:ascii="黑体" w:eastAsia="黑体" w:hAnsi="黑体"/>
          <w:b w:val="0"/>
        </w:rPr>
      </w:pPr>
      <w:r>
        <w:rPr>
          <w:rStyle w:val="2Char"/>
          <w:rFonts w:ascii="黑体" w:eastAsia="黑体" w:hAnsi="黑体" w:hint="eastAsia"/>
          <w:b w:val="0"/>
        </w:rPr>
        <w:lastRenderedPageBreak/>
        <w:t>预算绩效情况说明</w:t>
      </w:r>
    </w:p>
    <w:p w:rsidR="004259E7" w:rsidRDefault="002217CF">
      <w:pPr>
        <w:pStyle w:val="11"/>
        <w:numPr>
          <w:ilvl w:val="0"/>
          <w:numId w:val="6"/>
        </w:numPr>
        <w:spacing w:line="56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4259E7" w:rsidRPr="00C54CB5" w:rsidRDefault="002217CF">
      <w:pPr>
        <w:numPr>
          <w:ilvl w:val="0"/>
          <w:numId w:val="7"/>
        </w:numPr>
        <w:spacing w:line="560" w:lineRule="exact"/>
        <w:ind w:firstLineChars="200" w:firstLine="640"/>
        <w:rPr>
          <w:rFonts w:ascii="楷体_GB2312" w:eastAsia="楷体_GB2312" w:hAnsi="仿宋"/>
          <w:color w:val="000000"/>
          <w:sz w:val="32"/>
          <w:szCs w:val="32"/>
        </w:rPr>
      </w:pPr>
      <w:r w:rsidRPr="00C54CB5">
        <w:rPr>
          <w:rFonts w:ascii="楷体_GB2312" w:eastAsia="楷体_GB2312" w:hAnsi="仿宋" w:hint="eastAsia"/>
          <w:color w:val="000000"/>
          <w:sz w:val="32"/>
          <w:szCs w:val="32"/>
        </w:rPr>
        <w:t>机关运行经费支出情况</w:t>
      </w:r>
    </w:p>
    <w:p w:rsidR="004259E7" w:rsidRPr="00251D85" w:rsidRDefault="002217CF">
      <w:pPr>
        <w:spacing w:line="560" w:lineRule="exact"/>
        <w:ind w:firstLineChars="250" w:firstLine="800"/>
        <w:rPr>
          <w:rFonts w:ascii="仿宋_GB2312" w:eastAsia="仿宋_GB2312" w:hAnsi="仿宋"/>
          <w:color w:val="000000"/>
          <w:sz w:val="32"/>
          <w:szCs w:val="32"/>
        </w:rPr>
      </w:pPr>
      <w:r w:rsidRPr="00251D85">
        <w:rPr>
          <w:rFonts w:ascii="仿宋_GB2312" w:eastAsia="仿宋_GB2312" w:hAnsi="仿宋" w:hint="eastAsia"/>
          <w:color w:val="000000"/>
          <w:sz w:val="32"/>
          <w:szCs w:val="32"/>
        </w:rPr>
        <w:t>2019年，雅安市名山区人民检察元机关运行经费支出211.19万元，比2018年减少27.66万元，下降了11.58%，主要原因是人员减少引起的人员经费减少。</w:t>
      </w:r>
    </w:p>
    <w:p w:rsidR="004259E7" w:rsidRPr="00C54CB5" w:rsidRDefault="002217CF" w:rsidP="00626539">
      <w:pPr>
        <w:numPr>
          <w:ilvl w:val="0"/>
          <w:numId w:val="7"/>
        </w:numPr>
        <w:spacing w:line="560" w:lineRule="exact"/>
        <w:ind w:firstLineChars="200" w:firstLine="640"/>
        <w:rPr>
          <w:rFonts w:ascii="楷体_GB2312" w:eastAsia="楷体_GB2312" w:hAnsi="仿宋"/>
          <w:color w:val="000000"/>
          <w:sz w:val="32"/>
          <w:szCs w:val="32"/>
        </w:rPr>
      </w:pPr>
      <w:r w:rsidRPr="00C54CB5">
        <w:rPr>
          <w:rFonts w:ascii="楷体_GB2312" w:eastAsia="楷体_GB2312" w:hAnsi="仿宋" w:hint="eastAsia"/>
          <w:color w:val="000000"/>
          <w:sz w:val="32"/>
          <w:szCs w:val="32"/>
        </w:rPr>
        <w:t>政府采购支出情况</w:t>
      </w:r>
    </w:p>
    <w:p w:rsidR="004259E7" w:rsidRDefault="002217CF">
      <w:pPr>
        <w:spacing w:line="560" w:lineRule="exact"/>
        <w:ind w:firstLineChars="250" w:firstLine="800"/>
        <w:rPr>
          <w:rFonts w:ascii="仿宋_GB2312" w:eastAsia="仿宋_GB2312" w:hAnsi="仿宋"/>
          <w:color w:val="000000"/>
          <w:sz w:val="32"/>
          <w:szCs w:val="32"/>
        </w:rPr>
      </w:pPr>
      <w:r>
        <w:rPr>
          <w:rFonts w:ascii="仿宋_GB2312" w:eastAsia="仿宋_GB2312" w:hAnsi="仿宋" w:hint="eastAsia"/>
          <w:color w:val="000000"/>
          <w:sz w:val="32"/>
          <w:szCs w:val="32"/>
        </w:rPr>
        <w:t>2019年，雅安市名山区人民检察院政府采购支出总额为1.23万元，其中：政府采购货物支出1.23万元、政府采购工程支出0万元、政府采购服务支出0万元。主要用于采购办公用电脑3台。授予中小企业合同金额0万元，占政府采购支出总额的0%，其中：授予小微企业合同金额0万元，占政府采购支出总额的0%。</w:t>
      </w:r>
    </w:p>
    <w:p w:rsidR="004259E7" w:rsidRPr="00C54CB5" w:rsidRDefault="002217CF" w:rsidP="00626539">
      <w:pPr>
        <w:autoSpaceDE w:val="0"/>
        <w:autoSpaceDN w:val="0"/>
        <w:adjustRightInd w:val="0"/>
        <w:spacing w:line="560" w:lineRule="exact"/>
        <w:ind w:firstLineChars="200" w:firstLine="640"/>
        <w:jc w:val="left"/>
        <w:outlineLvl w:val="2"/>
        <w:rPr>
          <w:rFonts w:ascii="楷体_GB2312" w:eastAsia="楷体_GB2312" w:hAnsi="仿宋"/>
          <w:color w:val="000000"/>
          <w:sz w:val="32"/>
          <w:szCs w:val="32"/>
        </w:rPr>
      </w:pPr>
      <w:r w:rsidRPr="00C54CB5">
        <w:rPr>
          <w:rFonts w:ascii="楷体_GB2312" w:eastAsia="楷体_GB2312" w:hAnsi="仿宋" w:hint="eastAsia"/>
          <w:color w:val="000000"/>
          <w:sz w:val="32"/>
          <w:szCs w:val="32"/>
        </w:rPr>
        <w:t>（三）国有资产占有使用情况</w:t>
      </w:r>
    </w:p>
    <w:p w:rsidR="004259E7" w:rsidRPr="0073476E" w:rsidRDefault="002217CF">
      <w:pPr>
        <w:spacing w:line="560" w:lineRule="exact"/>
        <w:ind w:firstLineChars="250" w:firstLine="800"/>
        <w:rPr>
          <w:rFonts w:ascii="仿宋_GB2312" w:eastAsia="仿宋_GB2312" w:hAnsi="仿宋"/>
          <w:color w:val="FF0000"/>
          <w:sz w:val="32"/>
          <w:szCs w:val="32"/>
        </w:rPr>
      </w:pPr>
      <w:r w:rsidRPr="0073476E">
        <w:rPr>
          <w:rFonts w:ascii="仿宋_GB2312" w:eastAsia="仿宋_GB2312" w:hAnsi="仿宋" w:hint="eastAsia"/>
          <w:color w:val="FF0000"/>
          <w:sz w:val="32"/>
          <w:szCs w:val="32"/>
        </w:rPr>
        <w:t>截至2019年12月31日，雅安市名山区人员检察院共有车辆5辆，其中：一般执法执勤用车4辆、特种专业技术用车1</w:t>
      </w:r>
      <w:r w:rsidR="0073476E">
        <w:rPr>
          <w:rFonts w:ascii="仿宋_GB2312" w:eastAsia="仿宋_GB2312" w:hAnsi="仿宋" w:hint="eastAsia"/>
          <w:color w:val="FF0000"/>
          <w:sz w:val="32"/>
          <w:szCs w:val="32"/>
        </w:rPr>
        <w:t>辆</w:t>
      </w:r>
      <w:r w:rsidRPr="0073476E">
        <w:rPr>
          <w:rFonts w:ascii="仿宋_GB2312" w:eastAsia="仿宋_GB2312" w:hAnsi="仿宋" w:hint="eastAsia"/>
          <w:color w:val="FF0000"/>
          <w:sz w:val="32"/>
          <w:szCs w:val="32"/>
        </w:rPr>
        <w:t>。单价50万元以上通用设备0台（套），单价100万元以上专用设备0台（套）。</w:t>
      </w:r>
    </w:p>
    <w:p w:rsidR="004259E7" w:rsidRDefault="002217CF" w:rsidP="00C54CB5">
      <w:pPr>
        <w:spacing w:line="560" w:lineRule="exact"/>
        <w:ind w:firstLineChars="250" w:firstLine="800"/>
        <w:rPr>
          <w:rFonts w:ascii="仿宋_GB2312" w:eastAsia="仿宋_GB2312" w:hAnsi="仿宋"/>
          <w:color w:val="000000"/>
          <w:sz w:val="32"/>
          <w:szCs w:val="32"/>
        </w:rPr>
      </w:pPr>
      <w:r w:rsidRPr="00C54CB5">
        <w:rPr>
          <w:rFonts w:ascii="楷体_GB2312" w:eastAsia="楷体_GB2312" w:hAnsi="仿宋" w:cs="楷体_GB2312" w:hint="eastAsia"/>
          <w:bCs/>
          <w:sz w:val="32"/>
          <w:szCs w:val="32"/>
        </w:rPr>
        <w:t>（四）预算绩效管理情况。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Pr>
          <w:rFonts w:ascii="仿宋_GB2312" w:eastAsia="仿宋_GB2312" w:hAnsi="仿宋" w:hint="eastAsia"/>
          <w:color w:val="000000"/>
          <w:sz w:val="32"/>
          <w:szCs w:val="32"/>
        </w:rPr>
        <w:t>根据预算绩效管理要求，本部门（单位）在年初预算编制阶段，组织对0项目开展了预算事前绩效评估，对0个项目编制了绩效目标，预算执行过程中，选取0个项目开展绩效监控，年终执行完毕后，对0个项目开展了绩效目标完成情况梳理填报。</w:t>
      </w:r>
    </w:p>
    <w:p w:rsidR="004259E7" w:rsidRDefault="002217CF">
      <w:pPr>
        <w:spacing w:line="560" w:lineRule="exact"/>
        <w:ind w:firstLineChars="250" w:firstLine="80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本部门按要求对2019年部门整体支出开展绩效自评，从评价情况来看财政资金使用规范，资金使用安全，提高了资金使用社会效应。</w:t>
      </w:r>
    </w:p>
    <w:p w:rsidR="004259E7" w:rsidRDefault="002217CF">
      <w:pPr>
        <w:spacing w:line="560" w:lineRule="exact"/>
        <w:ind w:firstLineChars="200" w:firstLine="640"/>
        <w:rPr>
          <w:rFonts w:ascii="楷体_GB2312" w:eastAsia="楷体_GB2312" w:hAnsi="仿宋" w:cs="楷体_GB2312"/>
          <w:bCs/>
          <w:sz w:val="32"/>
          <w:szCs w:val="32"/>
        </w:rPr>
      </w:pPr>
      <w:r>
        <w:rPr>
          <w:rFonts w:ascii="楷体_GB2312" w:eastAsia="楷体_GB2312" w:hAnsi="仿宋" w:cs="楷体_GB2312" w:hint="eastAsia"/>
          <w:bCs/>
          <w:sz w:val="32"/>
          <w:szCs w:val="32"/>
        </w:rPr>
        <w:t>1、项目绩效目标完成情况。</w:t>
      </w:r>
    </w:p>
    <w:p w:rsidR="004259E7" w:rsidRDefault="002217CF">
      <w:pPr>
        <w:spacing w:line="560" w:lineRule="exact"/>
        <w:ind w:firstLineChars="250" w:firstLine="800"/>
        <w:rPr>
          <w:rFonts w:ascii="楷体_GB2312" w:eastAsia="楷体_GB2312" w:hAnsi="仿宋" w:cs="楷体_GB2312"/>
          <w:bCs/>
          <w:sz w:val="32"/>
          <w:szCs w:val="32"/>
        </w:rPr>
      </w:pPr>
      <w:r>
        <w:rPr>
          <w:rFonts w:ascii="仿宋_GB2312" w:eastAsia="仿宋_GB2312" w:hAnsi="仿宋" w:hint="eastAsia"/>
          <w:color w:val="000000"/>
          <w:sz w:val="32"/>
          <w:szCs w:val="32"/>
        </w:rPr>
        <w:t>本部门无专项预算项目，因此未组织开展项目支出绩效评价。</w:t>
      </w:r>
      <w:bookmarkStart w:id="50" w:name="_GoBack"/>
      <w:bookmarkEnd w:id="50"/>
    </w:p>
    <w:p w:rsidR="004259E7" w:rsidRDefault="002217CF">
      <w:pPr>
        <w:spacing w:line="560" w:lineRule="exact"/>
        <w:ind w:left="643"/>
        <w:rPr>
          <w:rFonts w:ascii="楷体_GB2312" w:eastAsia="楷体_GB2312" w:hAnsi="仿宋" w:cs="仿宋_GB2312"/>
          <w:sz w:val="32"/>
          <w:szCs w:val="32"/>
        </w:rPr>
      </w:pPr>
      <w:r>
        <w:rPr>
          <w:rFonts w:ascii="楷体_GB2312" w:eastAsia="楷体_GB2312" w:hAnsi="仿宋" w:cs="楷体_GB2312" w:hint="eastAsia"/>
          <w:bCs/>
          <w:sz w:val="32"/>
          <w:szCs w:val="32"/>
        </w:rPr>
        <w:t>2.部门开展绩效评价结果。</w:t>
      </w:r>
    </w:p>
    <w:p w:rsidR="004259E7" w:rsidRDefault="002217CF">
      <w:pPr>
        <w:spacing w:line="560" w:lineRule="exact"/>
        <w:ind w:firstLineChars="200" w:firstLine="640"/>
        <w:rPr>
          <w:rFonts w:ascii="仿宋_GB2312" w:eastAsia="仿宋_GB2312" w:hAnsi="仿宋" w:cs="楷体_GB2312"/>
          <w:bCs/>
          <w:sz w:val="32"/>
          <w:szCs w:val="32"/>
        </w:rPr>
      </w:pPr>
      <w:r>
        <w:rPr>
          <w:rFonts w:ascii="仿宋_GB2312" w:eastAsia="仿宋_GB2312" w:hAnsi="仿宋" w:cs="楷体_GB2312" w:hint="eastAsia"/>
          <w:bCs/>
          <w:sz w:val="32"/>
          <w:szCs w:val="32"/>
        </w:rPr>
        <w:t>本部门按要求对2019年部门整体支出绩效评价情况开展自评，《雅安市名山区人民检察院2019年部门整体支出绩效评价报告》见附件。</w:t>
      </w:r>
    </w:p>
    <w:p w:rsidR="004259E7" w:rsidRDefault="002217CF">
      <w:pPr>
        <w:widowControl/>
        <w:spacing w:line="560" w:lineRule="exact"/>
        <w:jc w:val="left"/>
        <w:rPr>
          <w:rFonts w:ascii="仿宋_GB2312" w:eastAsia="仿宋_GB2312"/>
          <w:b/>
          <w:color w:val="000000"/>
          <w:sz w:val="32"/>
          <w:szCs w:val="32"/>
        </w:rPr>
      </w:pPr>
      <w:r>
        <w:rPr>
          <w:rFonts w:ascii="仿宋_GB2312" w:eastAsia="仿宋_GB2312" w:hint="eastAsia"/>
          <w:b/>
          <w:color w:val="000000"/>
          <w:sz w:val="32"/>
          <w:szCs w:val="32"/>
        </w:rPr>
        <w:br w:type="page"/>
      </w:r>
    </w:p>
    <w:p w:rsidR="004259E7" w:rsidRDefault="002217CF">
      <w:pPr>
        <w:numPr>
          <w:ilvl w:val="0"/>
          <w:numId w:val="8"/>
        </w:numPr>
        <w:spacing w:line="560" w:lineRule="exact"/>
        <w:ind w:firstLineChars="150" w:firstLine="663"/>
        <w:jc w:val="center"/>
        <w:outlineLvl w:val="0"/>
        <w:rPr>
          <w:rStyle w:val="1Char"/>
          <w:rFonts w:ascii="黑体" w:eastAsia="黑体" w:hAnsi="黑体"/>
          <w:b w:val="0"/>
        </w:rPr>
      </w:pPr>
      <w:bookmarkStart w:id="51" w:name="_Toc15377225"/>
      <w:bookmarkStart w:id="52" w:name="_Toc15396613"/>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1"/>
      <w:bookmarkEnd w:id="52"/>
    </w:p>
    <w:p w:rsidR="004259E7" w:rsidRDefault="004259E7">
      <w:pPr>
        <w:spacing w:line="560" w:lineRule="exact"/>
        <w:jc w:val="left"/>
        <w:rPr>
          <w:rFonts w:ascii="宋体"/>
          <w:b/>
          <w:color w:val="000000"/>
          <w:sz w:val="44"/>
          <w:szCs w:val="44"/>
        </w:rPr>
      </w:pPr>
    </w:p>
    <w:p w:rsidR="00251D85" w:rsidRDefault="00251D85" w:rsidP="00251D85">
      <w:pPr>
        <w:pStyle w:val="Default"/>
        <w:spacing w:line="560" w:lineRule="exact"/>
        <w:ind w:firstLineChars="200" w:firstLine="640"/>
        <w:rPr>
          <w:rFonts w:ascii="仿宋_GB2312" w:eastAsia="仿宋_GB2312"/>
          <w:sz w:val="32"/>
          <w:szCs w:val="32"/>
        </w:rPr>
      </w:pPr>
      <w:bookmarkStart w:id="53" w:name="_Toc15377226"/>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251D85" w:rsidRDefault="00251D85" w:rsidP="00251D8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其他收入：指单位取得的除上述收入以外的各项收入。主要是利息收入。</w:t>
      </w:r>
    </w:p>
    <w:p w:rsidR="00251D85" w:rsidRDefault="00251D85" w:rsidP="00251D8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p>
    <w:p w:rsidR="00251D85" w:rsidRDefault="00251D85" w:rsidP="00251D8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4、年末结转和结余：指单位按有关规定结转到下年或以后年度继续使用的资金。</w:t>
      </w:r>
    </w:p>
    <w:p w:rsidR="00251D85" w:rsidRDefault="00251D85" w:rsidP="00251D8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公共安全（类）检察（款）行政运行（项）：指行政单位的基本支出。</w:t>
      </w:r>
    </w:p>
    <w:p w:rsidR="00251D85" w:rsidRDefault="00251D85" w:rsidP="00251D8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社会保障和就业（类）行政事业单位离退休（款）机关事业单位基本养老保险缴费支出（项）:指机关事业单位职工养老保险由单位缴纳的基本养老保险缴纳。</w:t>
      </w:r>
    </w:p>
    <w:p w:rsidR="00251D85" w:rsidRDefault="00251D85" w:rsidP="00251D8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医疗卫生与计划生育（类）行政事业单位医疗（款）行政单位医疗（项）:指行政单位基本医疗保险缴费经费。</w:t>
      </w:r>
    </w:p>
    <w:p w:rsidR="00251D85" w:rsidRDefault="00251D85" w:rsidP="00251D8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8．医疗卫生与计划生育（类）行政事业单位医疗（款）公务员医疗补助（项）:</w:t>
      </w:r>
      <w:r>
        <w:rPr>
          <w:rFonts w:hint="eastAsia"/>
        </w:rPr>
        <w:t xml:space="preserve"> </w:t>
      </w:r>
      <w:r>
        <w:rPr>
          <w:rFonts w:ascii="仿宋_GB2312" w:eastAsia="仿宋_GB2312" w:hint="eastAsia"/>
          <w:color w:val="000000"/>
          <w:sz w:val="32"/>
          <w:szCs w:val="32"/>
        </w:rPr>
        <w:t>指财政部门集中安排的公务员医疗补助经费。</w:t>
      </w:r>
    </w:p>
    <w:p w:rsidR="00251D85" w:rsidRDefault="00251D85" w:rsidP="00251D8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251D85" w:rsidRDefault="00251D85" w:rsidP="00251D8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251D85" w:rsidRDefault="00251D85" w:rsidP="00251D8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11</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51D85" w:rsidRDefault="00251D85" w:rsidP="00251D8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259E7" w:rsidRDefault="002217CF">
      <w:pPr>
        <w:spacing w:line="560" w:lineRule="exact"/>
        <w:jc w:val="center"/>
        <w:outlineLvl w:val="0"/>
        <w:rPr>
          <w:rStyle w:val="1Char"/>
          <w:rFonts w:ascii="黑体" w:eastAsia="黑体" w:hAnsi="黑体"/>
          <w:b w:val="0"/>
        </w:rPr>
      </w:pPr>
      <w:r>
        <w:rPr>
          <w:rFonts w:ascii="宋体"/>
          <w:b/>
          <w:color w:val="000000"/>
          <w:sz w:val="44"/>
          <w:szCs w:val="44"/>
        </w:rPr>
        <w:br w:type="page"/>
      </w:r>
      <w:bookmarkStart w:id="54"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4"/>
    </w:p>
    <w:p w:rsidR="004259E7" w:rsidRDefault="004259E7">
      <w:pPr>
        <w:spacing w:line="560" w:lineRule="exact"/>
        <w:jc w:val="center"/>
        <w:outlineLvl w:val="0"/>
        <w:rPr>
          <w:rStyle w:val="1Char"/>
        </w:rPr>
      </w:pPr>
    </w:p>
    <w:p w:rsidR="004259E7" w:rsidRDefault="002217CF">
      <w:pPr>
        <w:pStyle w:val="2"/>
        <w:spacing w:line="560" w:lineRule="exact"/>
        <w:rPr>
          <w:rStyle w:val="1Char"/>
          <w:rFonts w:ascii="仿宋" w:eastAsia="仿宋" w:hAnsi="仿宋"/>
          <w:sz w:val="32"/>
          <w:szCs w:val="32"/>
        </w:rPr>
      </w:pPr>
      <w:bookmarkStart w:id="55" w:name="_Toc15396615"/>
      <w:r>
        <w:rPr>
          <w:rStyle w:val="1Char"/>
          <w:rFonts w:ascii="仿宋" w:eastAsia="仿宋" w:hAnsi="仿宋" w:hint="eastAsia"/>
          <w:sz w:val="32"/>
          <w:szCs w:val="32"/>
        </w:rPr>
        <w:t>附件1</w:t>
      </w:r>
      <w:bookmarkEnd w:id="55"/>
    </w:p>
    <w:p w:rsidR="004259E7" w:rsidRDefault="002217CF">
      <w:pPr>
        <w:spacing w:line="560" w:lineRule="exact"/>
        <w:jc w:val="center"/>
        <w:outlineLvl w:val="0"/>
        <w:rPr>
          <w:rFonts w:ascii="黑体" w:eastAsia="黑体" w:hAnsi="黑体" w:cs="方正小标宋简体"/>
          <w:sz w:val="36"/>
          <w:szCs w:val="36"/>
        </w:rPr>
      </w:pPr>
      <w:bookmarkStart w:id="56" w:name="_Toc15396616"/>
      <w:r>
        <w:rPr>
          <w:rFonts w:ascii="黑体" w:eastAsia="黑体" w:hAnsi="黑体" w:cs="方正小标宋简体" w:hint="eastAsia"/>
          <w:sz w:val="36"/>
          <w:szCs w:val="36"/>
        </w:rPr>
        <w:t>雅安市名山区人民检察院</w:t>
      </w:r>
    </w:p>
    <w:p w:rsidR="004259E7" w:rsidRDefault="002217CF">
      <w:pPr>
        <w:spacing w:line="56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部门2019年部门整体支出绩效评价报告</w:t>
      </w:r>
      <w:bookmarkEnd w:id="56"/>
    </w:p>
    <w:p w:rsidR="004259E7" w:rsidRDefault="004259E7">
      <w:pPr>
        <w:spacing w:line="560" w:lineRule="exact"/>
        <w:ind w:firstLineChars="200" w:firstLine="640"/>
        <w:rPr>
          <w:rFonts w:ascii="黑体" w:eastAsia="黑体" w:hAnsi="黑体" w:cs="黑体"/>
          <w:sz w:val="32"/>
          <w:szCs w:val="32"/>
        </w:rPr>
      </w:pPr>
    </w:p>
    <w:p w:rsidR="004259E7" w:rsidRDefault="002217C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4259E7" w:rsidRDefault="002217CF">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4259E7" w:rsidRDefault="002217CF">
      <w:pPr>
        <w:snapToGrid w:val="0"/>
        <w:spacing w:line="560" w:lineRule="exact"/>
        <w:ind w:firstLineChars="200" w:firstLine="640"/>
        <w:rPr>
          <w:rFonts w:ascii="仿宋_GB2312" w:eastAsia="仿宋_GB2312" w:hAnsi="仿宋"/>
          <w:sz w:val="32"/>
          <w:szCs w:val="32"/>
        </w:rPr>
      </w:pPr>
      <w:r>
        <w:rPr>
          <w:rFonts w:ascii="仿宋_GB2312" w:eastAsia="仿宋_GB2312" w:hint="eastAsia"/>
          <w:sz w:val="32"/>
          <w:szCs w:val="32"/>
        </w:rPr>
        <w:t>雅安市名山区人民检察院属行政单位，</w:t>
      </w:r>
      <w:r>
        <w:rPr>
          <w:rFonts w:ascii="仿宋_GB2312" w:eastAsia="仿宋_GB2312" w:hAnsi="仿宋" w:hint="eastAsia"/>
          <w:sz w:val="32"/>
          <w:szCs w:val="32"/>
        </w:rPr>
        <w:t>2019年度，纳入本部门决算汇编范围的独立核算单位共1个，无增减。单位机关内设机构为行检一部、行检二部、行检三部、政治处、办公室共5个内设机构，当年变动6个，因内设机构改革。</w:t>
      </w:r>
    </w:p>
    <w:p w:rsidR="004259E7" w:rsidRDefault="002217CF">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p>
    <w:p w:rsidR="00C31E41" w:rsidRDefault="00C31E41" w:rsidP="00C31E41">
      <w:pPr>
        <w:widowControl/>
        <w:spacing w:line="560" w:lineRule="exact"/>
        <w:ind w:firstLineChars="250" w:firstLine="800"/>
        <w:jc w:val="left"/>
        <w:rPr>
          <w:rFonts w:ascii="仿宋_GB2312" w:eastAsia="仿宋_GB2312" w:hAnsi="仿宋"/>
          <w:bCs/>
          <w:color w:val="FF0000"/>
          <w:kern w:val="0"/>
          <w:sz w:val="32"/>
          <w:szCs w:val="32"/>
        </w:rPr>
      </w:pPr>
      <w:r>
        <w:rPr>
          <w:rFonts w:ascii="仿宋_GB2312" w:eastAsia="仿宋_GB2312" w:hAnsi="仿宋" w:hint="eastAsia"/>
          <w:bCs/>
          <w:color w:val="FF0000"/>
          <w:kern w:val="0"/>
          <w:sz w:val="32"/>
          <w:szCs w:val="32"/>
        </w:rPr>
        <w:t>名山区检察院主要职能是：</w:t>
      </w:r>
    </w:p>
    <w:p w:rsidR="00C31E41" w:rsidRDefault="00C31E41" w:rsidP="00C31E41">
      <w:pPr>
        <w:widowControl/>
        <w:spacing w:line="560" w:lineRule="exact"/>
        <w:ind w:firstLineChars="200" w:firstLine="640"/>
        <w:jc w:val="left"/>
        <w:rPr>
          <w:rFonts w:ascii="仿宋_GB2312" w:eastAsia="仿宋_GB2312" w:hAnsi="仿宋"/>
          <w:bCs/>
          <w:color w:val="FF0000"/>
          <w:kern w:val="0"/>
          <w:sz w:val="32"/>
          <w:szCs w:val="32"/>
        </w:rPr>
      </w:pPr>
      <w:r>
        <w:rPr>
          <w:rFonts w:ascii="仿宋_GB2312" w:eastAsia="仿宋_GB2312" w:hAnsi="仿宋" w:hint="eastAsia"/>
          <w:bCs/>
          <w:color w:val="FF0000"/>
          <w:kern w:val="0"/>
          <w:sz w:val="32"/>
          <w:szCs w:val="32"/>
        </w:rPr>
        <w:t>1、</w:t>
      </w:r>
      <w:r w:rsidR="00780AE9">
        <w:rPr>
          <w:rFonts w:ascii="仿宋_GB2312" w:eastAsia="仿宋_GB2312" w:hAnsi="仿宋" w:hint="eastAsia"/>
          <w:bCs/>
          <w:color w:val="FF0000"/>
          <w:kern w:val="0"/>
          <w:sz w:val="32"/>
          <w:szCs w:val="32"/>
        </w:rPr>
        <w:t>对雅安市名山区人民代表大会及其常务委员会负责并报告工作，接受</w:t>
      </w:r>
      <w:r>
        <w:rPr>
          <w:rFonts w:ascii="仿宋_GB2312" w:eastAsia="仿宋_GB2312" w:hAnsi="仿宋" w:hint="eastAsia"/>
          <w:bCs/>
          <w:color w:val="FF0000"/>
          <w:kern w:val="0"/>
          <w:sz w:val="32"/>
          <w:szCs w:val="32"/>
        </w:rPr>
        <w:t>雅安市名山区人民代表大会及其常务委员会的监督，接受上级检察院的领导。</w:t>
      </w:r>
    </w:p>
    <w:p w:rsidR="00C31E41" w:rsidRDefault="00C31E41" w:rsidP="00C31E41">
      <w:pPr>
        <w:widowControl/>
        <w:spacing w:line="560" w:lineRule="exact"/>
        <w:ind w:firstLineChars="200" w:firstLine="640"/>
        <w:jc w:val="left"/>
        <w:rPr>
          <w:rFonts w:ascii="仿宋_GB2312" w:eastAsia="仿宋_GB2312" w:hAnsi="仿宋"/>
          <w:bCs/>
          <w:color w:val="FF0000"/>
          <w:kern w:val="0"/>
          <w:sz w:val="32"/>
          <w:szCs w:val="32"/>
        </w:rPr>
      </w:pPr>
      <w:r>
        <w:rPr>
          <w:rFonts w:ascii="仿宋_GB2312" w:eastAsia="仿宋_GB2312" w:hAnsi="仿宋" w:hint="eastAsia"/>
          <w:bCs/>
          <w:color w:val="FF0000"/>
          <w:kern w:val="0"/>
          <w:sz w:val="32"/>
          <w:szCs w:val="32"/>
        </w:rPr>
        <w:t>2、贯彻检察工作方针，部署检察工作任务。</w:t>
      </w:r>
    </w:p>
    <w:p w:rsidR="00F309CF" w:rsidRDefault="00C31E41" w:rsidP="00F309CF">
      <w:pPr>
        <w:spacing w:line="560" w:lineRule="exact"/>
        <w:ind w:firstLineChars="200" w:firstLine="640"/>
        <w:rPr>
          <w:rFonts w:ascii="仿宋_GB2312" w:eastAsia="仿宋_GB2312" w:hAnsi="MS Gothic"/>
          <w:color w:val="FF0000"/>
          <w:sz w:val="32"/>
          <w:szCs w:val="32"/>
        </w:rPr>
      </w:pPr>
      <w:r>
        <w:rPr>
          <w:rFonts w:ascii="仿宋_GB2312" w:eastAsia="仿宋_GB2312" w:cs="仿宋_GB2312" w:hint="eastAsia"/>
          <w:color w:val="FF0000"/>
          <w:sz w:val="32"/>
          <w:szCs w:val="32"/>
        </w:rPr>
        <w:t>3、</w:t>
      </w:r>
      <w:r w:rsidR="00F309CF">
        <w:rPr>
          <w:rFonts w:ascii="仿宋_GB2312" w:eastAsia="仿宋_GB2312" w:cs="仿宋_GB2312" w:hint="eastAsia"/>
          <w:color w:val="FF0000"/>
          <w:sz w:val="32"/>
          <w:szCs w:val="32"/>
        </w:rPr>
        <w:t>负责对</w:t>
      </w:r>
      <w:r w:rsidR="00F309CF">
        <w:rPr>
          <w:rFonts w:ascii="仿宋_GB2312" w:eastAsia="仿宋_GB2312" w:hAnsi="MS Gothic" w:cs="仿宋_GB2312" w:hint="eastAsia"/>
          <w:color w:val="FF0000"/>
          <w:sz w:val="32"/>
          <w:szCs w:val="32"/>
        </w:rPr>
        <w:t>法律</w:t>
      </w:r>
      <w:r w:rsidR="00F309CF">
        <w:rPr>
          <w:rFonts w:ascii="仿宋_GB2312" w:eastAsia="仿宋_GB2312" w:cs="仿宋_GB2312" w:hint="eastAsia"/>
          <w:color w:val="FF0000"/>
          <w:sz w:val="32"/>
          <w:szCs w:val="32"/>
        </w:rPr>
        <w:t>规</w:t>
      </w:r>
      <w:r w:rsidR="00F309CF">
        <w:rPr>
          <w:rFonts w:ascii="仿宋_GB2312" w:eastAsia="仿宋_GB2312" w:hAnsi="MS Gothic" w:cs="仿宋_GB2312" w:hint="eastAsia"/>
          <w:color w:val="FF0000"/>
          <w:sz w:val="32"/>
          <w:szCs w:val="32"/>
        </w:rPr>
        <w:t>定由本院</w:t>
      </w:r>
      <w:r w:rsidR="00F309CF">
        <w:rPr>
          <w:rFonts w:ascii="仿宋_GB2312" w:eastAsia="仿宋_GB2312" w:cs="仿宋_GB2312" w:hint="eastAsia"/>
          <w:color w:val="FF0000"/>
          <w:sz w:val="32"/>
          <w:szCs w:val="32"/>
        </w:rPr>
        <w:t>办</w:t>
      </w:r>
      <w:r w:rsidR="00F309CF">
        <w:rPr>
          <w:rFonts w:ascii="仿宋_GB2312" w:eastAsia="仿宋_GB2312" w:hAnsi="MS Gothic" w:cs="仿宋_GB2312" w:hint="eastAsia"/>
          <w:color w:val="FF0000"/>
          <w:sz w:val="32"/>
          <w:szCs w:val="32"/>
        </w:rPr>
        <w:t>理的刑事案件依法</w:t>
      </w:r>
      <w:r w:rsidR="00F309CF">
        <w:rPr>
          <w:rFonts w:ascii="仿宋_GB2312" w:eastAsia="仿宋_GB2312" w:cs="仿宋_GB2312" w:hint="eastAsia"/>
          <w:color w:val="FF0000"/>
          <w:sz w:val="32"/>
          <w:szCs w:val="32"/>
        </w:rPr>
        <w:t>审查</w:t>
      </w:r>
      <w:r w:rsidR="00F309CF">
        <w:rPr>
          <w:rFonts w:ascii="仿宋_GB2312" w:eastAsia="仿宋_GB2312" w:hAnsi="MS Gothic" w:cs="仿宋_GB2312" w:hint="eastAsia"/>
          <w:color w:val="FF0000"/>
          <w:sz w:val="32"/>
          <w:szCs w:val="32"/>
        </w:rPr>
        <w:t>批捕、</w:t>
      </w:r>
      <w:r w:rsidR="00F309CF">
        <w:rPr>
          <w:rFonts w:ascii="仿宋_GB2312" w:eastAsia="仿宋_GB2312" w:cs="仿宋_GB2312" w:hint="eastAsia"/>
          <w:color w:val="FF0000"/>
          <w:sz w:val="32"/>
          <w:szCs w:val="32"/>
        </w:rPr>
        <w:t>审查</w:t>
      </w:r>
      <w:r w:rsidR="00F309CF">
        <w:rPr>
          <w:rFonts w:ascii="仿宋_GB2312" w:eastAsia="仿宋_GB2312" w:hAnsi="MS Gothic" w:cs="仿宋_GB2312" w:hint="eastAsia"/>
          <w:color w:val="FF0000"/>
          <w:sz w:val="32"/>
          <w:szCs w:val="32"/>
        </w:rPr>
        <w:t>起</w:t>
      </w:r>
      <w:r w:rsidR="00F309CF">
        <w:rPr>
          <w:rFonts w:ascii="仿宋_GB2312" w:eastAsia="仿宋_GB2312" w:cs="仿宋_GB2312" w:hint="eastAsia"/>
          <w:color w:val="FF0000"/>
          <w:sz w:val="32"/>
          <w:szCs w:val="32"/>
        </w:rPr>
        <w:t>诉</w:t>
      </w:r>
      <w:r w:rsidR="00F309CF">
        <w:rPr>
          <w:rFonts w:ascii="仿宋_GB2312" w:eastAsia="仿宋_GB2312" w:hAnsi="MS Gothic" w:cs="仿宋_GB2312" w:hint="eastAsia"/>
          <w:color w:val="FF0000"/>
          <w:sz w:val="32"/>
          <w:szCs w:val="32"/>
        </w:rPr>
        <w:t>、出庭支持公</w:t>
      </w:r>
      <w:r w:rsidR="00F309CF">
        <w:rPr>
          <w:rFonts w:ascii="仿宋_GB2312" w:eastAsia="仿宋_GB2312" w:cs="仿宋_GB2312" w:hint="eastAsia"/>
          <w:color w:val="FF0000"/>
          <w:sz w:val="32"/>
          <w:szCs w:val="32"/>
        </w:rPr>
        <w:t>诉</w:t>
      </w:r>
      <w:r w:rsidR="00F309CF">
        <w:rPr>
          <w:rFonts w:ascii="仿宋_GB2312" w:eastAsia="仿宋_GB2312" w:hAnsi="MS Gothic" w:cs="仿宋_GB2312" w:hint="eastAsia"/>
          <w:color w:val="FF0000"/>
          <w:sz w:val="32"/>
          <w:szCs w:val="32"/>
        </w:rPr>
        <w:t>。开展未成年人司法保护和预防未成年人犯罪工作。</w:t>
      </w:r>
    </w:p>
    <w:p w:rsidR="00C31E41" w:rsidRDefault="00C31E41" w:rsidP="00F309CF">
      <w:pPr>
        <w:spacing w:line="560" w:lineRule="exact"/>
        <w:ind w:firstLineChars="200" w:firstLine="640"/>
        <w:rPr>
          <w:rFonts w:ascii="仿宋_GB2312" w:eastAsia="仿宋_GB2312" w:hAnsi="仿宋"/>
          <w:bCs/>
          <w:color w:val="FF0000"/>
          <w:kern w:val="0"/>
          <w:sz w:val="32"/>
          <w:szCs w:val="32"/>
        </w:rPr>
      </w:pPr>
      <w:r>
        <w:rPr>
          <w:rFonts w:ascii="仿宋_GB2312" w:eastAsia="仿宋_GB2312" w:hAnsi="仿宋" w:hint="eastAsia"/>
          <w:bCs/>
          <w:color w:val="FF0000"/>
          <w:kern w:val="0"/>
          <w:sz w:val="32"/>
          <w:szCs w:val="32"/>
        </w:rPr>
        <w:t>4、依法开展民事诉讼、行政诉讼和刑罚执行活动的法律监督工作。</w:t>
      </w:r>
    </w:p>
    <w:p w:rsidR="00C31E41" w:rsidRDefault="00C31E41" w:rsidP="00C31E41">
      <w:pPr>
        <w:widowControl/>
        <w:spacing w:line="560" w:lineRule="exact"/>
        <w:ind w:firstLineChars="200" w:firstLine="640"/>
        <w:jc w:val="left"/>
        <w:rPr>
          <w:rFonts w:ascii="仿宋_GB2312" w:eastAsia="仿宋_GB2312" w:hAnsi="仿宋"/>
          <w:bCs/>
          <w:color w:val="FF0000"/>
          <w:kern w:val="0"/>
          <w:sz w:val="32"/>
          <w:szCs w:val="32"/>
        </w:rPr>
      </w:pPr>
      <w:r>
        <w:rPr>
          <w:rFonts w:ascii="仿宋_GB2312" w:eastAsia="仿宋_GB2312" w:hAnsi="仿宋" w:hint="eastAsia"/>
          <w:bCs/>
          <w:color w:val="FF0000"/>
          <w:kern w:val="0"/>
          <w:sz w:val="32"/>
          <w:szCs w:val="32"/>
        </w:rPr>
        <w:lastRenderedPageBreak/>
        <w:t>5、对于人民法院的民事审判活动实行法律监督，对人民法院已经发生效力的判决、裁定，发现违反法律、法规规定的，依法提出抗诉。</w:t>
      </w:r>
    </w:p>
    <w:p w:rsidR="00C31E41" w:rsidRDefault="00C31E41" w:rsidP="00C31E41">
      <w:pPr>
        <w:widowControl/>
        <w:spacing w:line="560" w:lineRule="exact"/>
        <w:ind w:firstLineChars="200" w:firstLine="640"/>
        <w:jc w:val="left"/>
        <w:rPr>
          <w:rFonts w:ascii="仿宋_GB2312" w:eastAsia="仿宋_GB2312" w:hAnsi="仿宋"/>
          <w:bCs/>
          <w:color w:val="FF0000"/>
          <w:kern w:val="0"/>
          <w:sz w:val="32"/>
          <w:szCs w:val="32"/>
        </w:rPr>
      </w:pPr>
      <w:r>
        <w:rPr>
          <w:rFonts w:ascii="仿宋_GB2312" w:eastAsia="仿宋_GB2312" w:hAnsi="宋体" w:cs="仿宋_GB2312" w:hint="eastAsia"/>
          <w:color w:val="FF0000"/>
          <w:kern w:val="0"/>
          <w:sz w:val="32"/>
          <w:szCs w:val="32"/>
        </w:rPr>
        <w:t>6、负责</w:t>
      </w:r>
      <w:r>
        <w:rPr>
          <w:rFonts w:ascii="仿宋_GB2312" w:eastAsia="仿宋_GB2312" w:hAnsi="MS Gothic" w:cs="仿宋_GB2312" w:hint="eastAsia"/>
          <w:color w:val="FF0000"/>
          <w:kern w:val="0"/>
          <w:sz w:val="32"/>
          <w:szCs w:val="32"/>
        </w:rPr>
        <w:t>受理控告</w:t>
      </w:r>
      <w:r w:rsidR="00706608">
        <w:rPr>
          <w:rFonts w:ascii="仿宋_GB2312" w:eastAsia="仿宋_GB2312" w:hAnsi="MS Gothic" w:cs="仿宋_GB2312" w:hint="eastAsia"/>
          <w:color w:val="FF0000"/>
          <w:kern w:val="0"/>
          <w:sz w:val="32"/>
          <w:szCs w:val="32"/>
        </w:rPr>
        <w:t>、</w:t>
      </w:r>
      <w:r>
        <w:rPr>
          <w:rFonts w:ascii="仿宋_GB2312" w:eastAsia="仿宋_GB2312" w:hAnsi="MS Gothic" w:cs="仿宋_GB2312" w:hint="eastAsia"/>
          <w:color w:val="FF0000"/>
          <w:kern w:val="0"/>
          <w:sz w:val="32"/>
          <w:szCs w:val="32"/>
        </w:rPr>
        <w:t>申</w:t>
      </w:r>
      <w:r>
        <w:rPr>
          <w:rFonts w:ascii="仿宋_GB2312" w:eastAsia="仿宋_GB2312" w:hAnsi="宋体" w:cs="仿宋_GB2312" w:hint="eastAsia"/>
          <w:color w:val="FF0000"/>
          <w:kern w:val="0"/>
          <w:sz w:val="32"/>
          <w:szCs w:val="32"/>
        </w:rPr>
        <w:t>诉和检举</w:t>
      </w:r>
      <w:r>
        <w:rPr>
          <w:rFonts w:ascii="仿宋_GB2312" w:eastAsia="仿宋_GB2312" w:hAnsi="MS Gothic" w:cs="仿宋_GB2312" w:hint="eastAsia"/>
          <w:color w:val="FF0000"/>
          <w:kern w:val="0"/>
          <w:sz w:val="32"/>
          <w:szCs w:val="32"/>
        </w:rPr>
        <w:t>。承</w:t>
      </w:r>
      <w:r>
        <w:rPr>
          <w:rFonts w:ascii="仿宋_GB2312" w:eastAsia="仿宋_GB2312" w:hAnsi="宋体" w:cs="仿宋_GB2312" w:hint="eastAsia"/>
          <w:color w:val="FF0000"/>
          <w:kern w:val="0"/>
          <w:sz w:val="32"/>
          <w:szCs w:val="32"/>
        </w:rPr>
        <w:t>办</w:t>
      </w:r>
      <w:r>
        <w:rPr>
          <w:rFonts w:ascii="仿宋_GB2312" w:eastAsia="仿宋_GB2312" w:hAnsi="MS Gothic" w:cs="仿宋_GB2312" w:hint="eastAsia"/>
          <w:color w:val="FF0000"/>
          <w:kern w:val="0"/>
          <w:sz w:val="32"/>
          <w:szCs w:val="32"/>
        </w:rPr>
        <w:t>本院管</w:t>
      </w:r>
      <w:r>
        <w:rPr>
          <w:rFonts w:ascii="仿宋_GB2312" w:eastAsia="仿宋_GB2312" w:hAnsi="宋体" w:cs="仿宋_GB2312" w:hint="eastAsia"/>
          <w:color w:val="FF0000"/>
          <w:kern w:val="0"/>
          <w:sz w:val="32"/>
          <w:szCs w:val="32"/>
        </w:rPr>
        <w:t>辖</w:t>
      </w:r>
      <w:r>
        <w:rPr>
          <w:rFonts w:ascii="仿宋_GB2312" w:eastAsia="仿宋_GB2312" w:hAnsi="MS Gothic" w:cs="仿宋_GB2312" w:hint="eastAsia"/>
          <w:color w:val="FF0000"/>
          <w:kern w:val="0"/>
          <w:sz w:val="32"/>
          <w:szCs w:val="32"/>
        </w:rPr>
        <w:t>的国家赔偿案件和国家司法救助案件。</w:t>
      </w:r>
    </w:p>
    <w:p w:rsidR="00C31E41" w:rsidRDefault="00C31E41" w:rsidP="00C31E41">
      <w:pPr>
        <w:pStyle w:val="a3"/>
        <w:adjustRightInd w:val="0"/>
        <w:snapToGrid w:val="0"/>
        <w:spacing w:before="93" w:line="600" w:lineRule="exact"/>
        <w:ind w:firstLineChars="200" w:firstLine="640"/>
        <w:outlineLvl w:val="2"/>
        <w:rPr>
          <w:rFonts w:hAnsi="MS Gothic" w:cs="仿宋_GB2312"/>
          <w:color w:val="FF0000"/>
          <w:sz w:val="32"/>
          <w:szCs w:val="32"/>
        </w:rPr>
      </w:pPr>
      <w:r>
        <w:rPr>
          <w:rFonts w:hAnsi="仿宋" w:hint="eastAsia"/>
          <w:bCs/>
          <w:color w:val="FF0000"/>
          <w:sz w:val="32"/>
          <w:szCs w:val="32"/>
        </w:rPr>
        <w:t>7、</w:t>
      </w:r>
      <w:r>
        <w:rPr>
          <w:rFonts w:hAnsi="MS Gothic" w:cs="仿宋_GB2312" w:hint="eastAsia"/>
          <w:color w:val="FF0000"/>
          <w:sz w:val="32"/>
          <w:szCs w:val="32"/>
        </w:rPr>
        <w:t>负责法律政策研究工作。</w:t>
      </w:r>
    </w:p>
    <w:p w:rsidR="00C31E41" w:rsidRDefault="00C31E41" w:rsidP="00C31E41">
      <w:pPr>
        <w:pStyle w:val="a3"/>
        <w:adjustRightInd w:val="0"/>
        <w:snapToGrid w:val="0"/>
        <w:spacing w:before="93" w:line="600" w:lineRule="exact"/>
        <w:ind w:firstLineChars="200" w:firstLine="640"/>
        <w:outlineLvl w:val="2"/>
        <w:rPr>
          <w:rFonts w:hAnsi="MS Gothic" w:cs="仿宋_GB2312"/>
          <w:color w:val="FF0000"/>
          <w:sz w:val="32"/>
          <w:szCs w:val="32"/>
        </w:rPr>
      </w:pPr>
      <w:r>
        <w:rPr>
          <w:rFonts w:hAnsi="MS Gothic" w:cs="仿宋_GB2312" w:hint="eastAsia"/>
          <w:color w:val="FF0000"/>
          <w:sz w:val="32"/>
          <w:szCs w:val="32"/>
        </w:rPr>
        <w:t>8、管理检察官，抓好干警思想政治工作和队伍建设</w:t>
      </w:r>
      <w:r w:rsidR="00706608">
        <w:rPr>
          <w:rFonts w:hAnsi="MS Gothic" w:cs="仿宋_GB2312" w:hint="eastAsia"/>
          <w:color w:val="FF0000"/>
          <w:sz w:val="32"/>
          <w:szCs w:val="32"/>
        </w:rPr>
        <w:t>工作</w:t>
      </w:r>
      <w:r>
        <w:rPr>
          <w:rFonts w:hAnsi="MS Gothic" w:cs="仿宋_GB2312" w:hint="eastAsia"/>
          <w:color w:val="FF0000"/>
          <w:sz w:val="32"/>
          <w:szCs w:val="32"/>
        </w:rPr>
        <w:t>，加强教育培训工作。</w:t>
      </w:r>
    </w:p>
    <w:p w:rsidR="00C31E41" w:rsidRDefault="00C31E41" w:rsidP="00C31E41">
      <w:pPr>
        <w:pStyle w:val="a3"/>
        <w:adjustRightInd w:val="0"/>
        <w:snapToGrid w:val="0"/>
        <w:spacing w:before="93" w:line="600" w:lineRule="exact"/>
        <w:ind w:firstLineChars="200" w:firstLine="640"/>
        <w:outlineLvl w:val="2"/>
        <w:rPr>
          <w:rFonts w:hAnsi="MS Gothic" w:cs="仿宋_GB2312"/>
          <w:color w:val="FF0000"/>
          <w:sz w:val="32"/>
          <w:szCs w:val="32"/>
        </w:rPr>
      </w:pPr>
      <w:r>
        <w:rPr>
          <w:rFonts w:hAnsi="MS Gothic" w:cs="仿宋_GB2312" w:hint="eastAsia"/>
          <w:color w:val="FF0000"/>
          <w:sz w:val="32"/>
          <w:szCs w:val="32"/>
        </w:rPr>
        <w:t>9、规划和管理本院的财务、装备、档案等工作。</w:t>
      </w:r>
    </w:p>
    <w:p w:rsidR="00C31E41" w:rsidRDefault="00C31E41" w:rsidP="00C31E41">
      <w:pPr>
        <w:pStyle w:val="a3"/>
        <w:adjustRightInd w:val="0"/>
        <w:snapToGrid w:val="0"/>
        <w:spacing w:before="93" w:line="600" w:lineRule="exact"/>
        <w:ind w:firstLineChars="200" w:firstLine="640"/>
        <w:outlineLvl w:val="2"/>
        <w:rPr>
          <w:rFonts w:ascii="仿宋" w:eastAsia="仿宋" w:hAnsi="仿宋"/>
          <w:bCs/>
          <w:color w:val="FF0000"/>
          <w:sz w:val="32"/>
          <w:szCs w:val="32"/>
        </w:rPr>
      </w:pPr>
      <w:r>
        <w:rPr>
          <w:rFonts w:hAnsi="MS Gothic" w:cs="仿宋_GB2312" w:hint="eastAsia"/>
          <w:color w:val="FF0000"/>
          <w:sz w:val="32"/>
          <w:szCs w:val="32"/>
        </w:rPr>
        <w:t>10、负责其他应当由名山区检察院承办的事项。</w:t>
      </w:r>
    </w:p>
    <w:p w:rsidR="004259E7" w:rsidRDefault="002217CF">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4259E7" w:rsidRDefault="002217C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截至2019年底检察院总编制36人,实有在职在编34人，其中:机关行政编制32人,实有人数31人（其中：行政工勤编制2人，实有人数1人）；其他事业编制4人，在职实有人数4人。离休人员0 人，退休人员0人。</w:t>
      </w:r>
    </w:p>
    <w:p w:rsidR="004259E7" w:rsidRDefault="002217CF">
      <w:pPr>
        <w:spacing w:line="56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4259E7" w:rsidRDefault="002217CF">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（一）部门财政资金收入情况</w:t>
      </w:r>
    </w:p>
    <w:p w:rsidR="004259E7" w:rsidRDefault="002217C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2019年部门年初预算数收入为437.49万元，年初预算支出数为437.49万元，上年同期数为461.41万元，减少了23.92万元，是由于人员增减变动引起。在年度执行中预算收入调整为627.34万元，其中财政拨款收入627.31万元，占收入总数99.99%，其他收入0.03万元，占收入总数0.01%。</w:t>
      </w:r>
    </w:p>
    <w:p w:rsidR="004259E7" w:rsidRDefault="002217CF">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（二）部门财政资金支出情况</w:t>
      </w:r>
    </w:p>
    <w:p w:rsidR="004259E7" w:rsidRDefault="002217C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201</w:t>
      </w:r>
      <w:r w:rsidR="009A264E">
        <w:rPr>
          <w:rFonts w:ascii="仿宋_GB2312" w:eastAsia="仿宋_GB2312" w:hAnsi="仿宋" w:hint="eastAsia"/>
          <w:sz w:val="32"/>
          <w:szCs w:val="32"/>
        </w:rPr>
        <w:t>9</w:t>
      </w:r>
      <w:r>
        <w:rPr>
          <w:rFonts w:ascii="仿宋_GB2312" w:eastAsia="仿宋_GB2312" w:hAnsi="仿宋" w:hint="eastAsia"/>
          <w:sz w:val="32"/>
          <w:szCs w:val="32"/>
        </w:rPr>
        <w:t>年总支出627.34万元，其中工资福利支出376.42，占总支出的60%，商品和服务支出157.14，占总支出的25.05%，对其他个人和家庭补助支出39.71，占总支出的6.33%。资本性支出54.07，占总支出的8.62%。</w:t>
      </w:r>
    </w:p>
    <w:p w:rsidR="004259E7" w:rsidRDefault="002217CF">
      <w:pPr>
        <w:spacing w:line="56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三、部门整体预算绩效管理情况（根据适用指标体系进行调整）</w:t>
      </w:r>
    </w:p>
    <w:p w:rsidR="004259E7" w:rsidRDefault="002217CF">
      <w:pPr>
        <w:spacing w:line="560" w:lineRule="exact"/>
        <w:ind w:firstLineChars="200" w:firstLine="640"/>
        <w:rPr>
          <w:rFonts w:ascii="仿宋_GB2312" w:eastAsia="仿宋_GB2312"/>
          <w:sz w:val="32"/>
          <w:szCs w:val="32"/>
        </w:rPr>
      </w:pPr>
      <w:r>
        <w:rPr>
          <w:rFonts w:ascii="仿宋_GB2312" w:eastAsia="仿宋_GB2312"/>
          <w:sz w:val="32"/>
          <w:szCs w:val="32"/>
        </w:rPr>
        <w:t>（一）部门预算管理。</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int="eastAsia"/>
          <w:sz w:val="32"/>
          <w:szCs w:val="32"/>
        </w:rPr>
        <w:t>严格按照区财政局文件要求，实行“二上二下”的编报流</w:t>
      </w:r>
      <w:r>
        <w:rPr>
          <w:rFonts w:ascii="仿宋_GB2312" w:eastAsia="仿宋_GB2312" w:hAnsi="仿宋" w:cs="仿宋" w:hint="eastAsia"/>
          <w:color w:val="000000"/>
          <w:sz w:val="32"/>
          <w:szCs w:val="32"/>
        </w:rPr>
        <w:t>程，按照时间节点，及时上报部门预算建议草案，根据行财股初审后下达预算控制数，重新修改上报预算草案文本和部门预算软件编报预算上报数据，及时完成预算编报工作。</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color w:val="000000"/>
          <w:sz w:val="32"/>
          <w:szCs w:val="32"/>
        </w:rPr>
        <w:t>（二）</w:t>
      </w:r>
      <w:r>
        <w:rPr>
          <w:rFonts w:ascii="仿宋_GB2312" w:eastAsia="仿宋_GB2312" w:hAnsi="仿宋" w:cs="仿宋" w:hint="eastAsia"/>
          <w:color w:val="000000"/>
          <w:sz w:val="32"/>
          <w:szCs w:val="32"/>
        </w:rPr>
        <w:t>结果应用情况</w:t>
      </w:r>
      <w:r>
        <w:rPr>
          <w:rFonts w:ascii="仿宋_GB2312" w:eastAsia="仿宋_GB2312" w:hAnsi="仿宋" w:cs="仿宋"/>
          <w:color w:val="000000"/>
          <w:sz w:val="32"/>
          <w:szCs w:val="32"/>
        </w:rPr>
        <w:t>。</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按照2019年部门整体支出绩效评价要求，对各项指标逐一评价，自评结果为“优”。并严格按照区财政局要求，在规定时限内及时在</w:t>
      </w:r>
      <w:r w:rsidR="00013016">
        <w:rPr>
          <w:rFonts w:ascii="仿宋_GB2312" w:eastAsia="仿宋_GB2312" w:hAnsi="仿宋" w:cs="仿宋" w:hint="eastAsia"/>
          <w:color w:val="000000"/>
          <w:sz w:val="32"/>
          <w:szCs w:val="32"/>
        </w:rPr>
        <w:t>名山区</w:t>
      </w:r>
      <w:r w:rsidR="005D3B92">
        <w:rPr>
          <w:rFonts w:ascii="仿宋_GB2312" w:eastAsia="仿宋_GB2312" w:hAnsi="仿宋" w:cs="仿宋" w:hint="eastAsia"/>
          <w:color w:val="000000"/>
          <w:sz w:val="32"/>
          <w:szCs w:val="32"/>
        </w:rPr>
        <w:t>政府</w:t>
      </w:r>
      <w:r w:rsidR="00013016">
        <w:rPr>
          <w:rFonts w:ascii="仿宋_GB2312" w:eastAsia="仿宋_GB2312" w:hAnsi="仿宋" w:cs="仿宋" w:hint="eastAsia"/>
          <w:color w:val="000000"/>
          <w:sz w:val="32"/>
          <w:szCs w:val="32"/>
        </w:rPr>
        <w:t>网站</w:t>
      </w:r>
      <w:r>
        <w:rPr>
          <w:rFonts w:ascii="仿宋_GB2312" w:eastAsia="仿宋_GB2312" w:hAnsi="仿宋" w:cs="仿宋" w:hint="eastAsia"/>
          <w:color w:val="000000"/>
          <w:sz w:val="32"/>
          <w:szCs w:val="32"/>
        </w:rPr>
        <w:t>进行预决算公开。</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社会公众满意度。全院上下全体干警切实转变工作作风，办事更积极，态度更热情，社会满意率达到百分之九十五以上。</w:t>
      </w:r>
    </w:p>
    <w:p w:rsidR="004259E7" w:rsidRDefault="002217CF">
      <w:pPr>
        <w:spacing w:line="56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color w:val="000000"/>
          <w:sz w:val="32"/>
          <w:szCs w:val="32"/>
        </w:rPr>
        <w:t>（一）评价结论。</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预算安排的基本支出保障了正常的工作运转，预算安排的项目支出在执行上是严格遵守各项财经纪律的，项目资金的使用上是放心的，严守了法律底线、纪律底线、道德底线。</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color w:val="000000"/>
          <w:sz w:val="32"/>
          <w:szCs w:val="32"/>
        </w:rPr>
        <w:t>（二）存在问题。</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预算执行存在偏差。由于年初预算安排经费不足，本年度许多专项工作需要申请追加预算，导致实际经费支出高于年初预算，预算编制与实际情况存在偏差，预算控制有待进一步提高。</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color w:val="000000"/>
          <w:sz w:val="32"/>
          <w:szCs w:val="32"/>
        </w:rPr>
        <w:t>（三）改进建议。</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1.科学合理编制预算。建议按照《</w:t>
      </w:r>
      <w:r w:rsidR="00307F35">
        <w:rPr>
          <w:rFonts w:ascii="仿宋_GB2312" w:eastAsia="仿宋_GB2312" w:hAnsi="仿宋" w:cs="仿宋" w:hint="eastAsia"/>
          <w:color w:val="000000"/>
          <w:sz w:val="32"/>
          <w:szCs w:val="32"/>
        </w:rPr>
        <w:t>中华人</w:t>
      </w:r>
      <w:r w:rsidR="009A264E">
        <w:rPr>
          <w:rFonts w:ascii="仿宋_GB2312" w:eastAsia="仿宋_GB2312" w:hAnsi="仿宋" w:cs="仿宋" w:hint="eastAsia"/>
          <w:color w:val="000000"/>
          <w:sz w:val="32"/>
          <w:szCs w:val="32"/>
        </w:rPr>
        <w:t>民</w:t>
      </w:r>
      <w:r w:rsidR="00307F35">
        <w:rPr>
          <w:rFonts w:ascii="仿宋_GB2312" w:eastAsia="仿宋_GB2312" w:hAnsi="仿宋" w:cs="仿宋" w:hint="eastAsia"/>
          <w:color w:val="000000"/>
          <w:sz w:val="32"/>
          <w:szCs w:val="32"/>
        </w:rPr>
        <w:t>共和国</w:t>
      </w:r>
      <w:r>
        <w:rPr>
          <w:rFonts w:ascii="仿宋_GB2312" w:eastAsia="仿宋_GB2312" w:hAnsi="仿宋" w:cs="仿宋" w:hint="eastAsia"/>
          <w:color w:val="000000"/>
          <w:sz w:val="32"/>
          <w:szCs w:val="32"/>
        </w:rPr>
        <w:t>预算法》的规定及本部门规划，结合上年度预算执行情况和本年度预算收支变化因素，科学、合理的编制预算，避免出现预算与实际执行出现较大偏差情况，进一步提高单位预算执行力度。</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2.进一步完善管理制度。进一步贯彻落实中央、省、市有关文件精神，加强管理，厉行节约，严控“三公”经费等公务支出。</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3.进一步加强资产管理。加强固定资产管理，及时登记、更新资产台账，及时进行资产清理， 确保资产账实相符。</w:t>
      </w:r>
    </w:p>
    <w:p w:rsidR="004259E7" w:rsidRDefault="002217CF">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4.加强财务管理，严格财务审核。在费用报账支付时，按照预算规定的费用项目和用途进行资金使用审核、列报支付、财务核算，杜绝超支现象的发生。</w:t>
      </w:r>
    </w:p>
    <w:p w:rsidR="004259E7" w:rsidRDefault="004259E7">
      <w:pPr>
        <w:spacing w:line="560" w:lineRule="exact"/>
        <w:ind w:firstLineChars="200" w:firstLine="640"/>
        <w:rPr>
          <w:rFonts w:ascii="仿宋_GB2312" w:eastAsia="仿宋_GB2312" w:hAnsi="仿宋" w:cs="仿宋"/>
          <w:color w:val="000000"/>
          <w:sz w:val="32"/>
          <w:szCs w:val="32"/>
        </w:rPr>
      </w:pPr>
    </w:p>
    <w:p w:rsidR="004259E7" w:rsidRDefault="002217CF">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4259E7" w:rsidRDefault="002217CF">
      <w:pPr>
        <w:spacing w:line="560" w:lineRule="exact"/>
        <w:jc w:val="center"/>
        <w:outlineLvl w:val="0"/>
        <w:rPr>
          <w:rStyle w:val="1Char"/>
          <w:rFonts w:ascii="仿宋_GB2312" w:eastAsia="仿宋_GB2312" w:hAnsi="黑体"/>
          <w:b w:val="0"/>
        </w:rPr>
      </w:pPr>
      <w:bookmarkStart w:id="57" w:name="_Toc15396618"/>
      <w:r>
        <w:rPr>
          <w:rFonts w:ascii="仿宋_GB2312" w:eastAsia="仿宋_GB2312" w:hAnsi="黑体" w:hint="eastAsia"/>
          <w:color w:val="000000"/>
          <w:sz w:val="44"/>
          <w:szCs w:val="44"/>
        </w:rPr>
        <w:lastRenderedPageBreak/>
        <w:t>第</w:t>
      </w:r>
      <w:r>
        <w:rPr>
          <w:rStyle w:val="1Char"/>
          <w:rFonts w:ascii="仿宋_GB2312" w:eastAsia="仿宋_GB2312" w:hAnsi="黑体" w:hint="eastAsia"/>
          <w:b w:val="0"/>
        </w:rPr>
        <w:t>五部分 附表</w:t>
      </w:r>
      <w:bookmarkEnd w:id="53"/>
      <w:bookmarkEnd w:id="57"/>
    </w:p>
    <w:p w:rsidR="004259E7" w:rsidRDefault="004259E7">
      <w:pPr>
        <w:spacing w:line="560" w:lineRule="exact"/>
        <w:jc w:val="center"/>
        <w:outlineLvl w:val="0"/>
        <w:rPr>
          <w:rFonts w:ascii="仿宋_GB2312" w:eastAsia="仿宋_GB2312" w:hAnsi="仿宋"/>
          <w:b/>
          <w:color w:val="000000"/>
          <w:sz w:val="44"/>
          <w:szCs w:val="44"/>
        </w:rPr>
      </w:pPr>
    </w:p>
    <w:p w:rsidR="004259E7" w:rsidRDefault="002217CF">
      <w:pPr>
        <w:pStyle w:val="2"/>
        <w:spacing w:line="560" w:lineRule="exact"/>
        <w:rPr>
          <w:rFonts w:ascii="仿宋" w:eastAsia="仿宋" w:hAnsi="仿宋"/>
          <w:color w:val="000000"/>
        </w:rPr>
      </w:pPr>
      <w:bookmarkStart w:id="58" w:name="_Toc15396619"/>
      <w:r>
        <w:rPr>
          <w:rFonts w:ascii="仿宋" w:eastAsia="仿宋" w:hAnsi="仿宋" w:hint="eastAsia"/>
          <w:b w:val="0"/>
          <w:color w:val="000000"/>
        </w:rPr>
        <w:t>一、收</w:t>
      </w:r>
      <w:r>
        <w:rPr>
          <w:rStyle w:val="2Char"/>
          <w:rFonts w:ascii="仿宋" w:eastAsia="仿宋" w:hAnsi="仿宋" w:hint="eastAsia"/>
        </w:rPr>
        <w:t>入支出决算总表</w:t>
      </w:r>
      <w:bookmarkEnd w:id="58"/>
    </w:p>
    <w:p w:rsidR="004259E7" w:rsidRDefault="002217CF">
      <w:pPr>
        <w:pStyle w:val="2"/>
        <w:spacing w:line="560" w:lineRule="exact"/>
        <w:rPr>
          <w:rFonts w:ascii="仿宋" w:eastAsia="仿宋" w:hAnsi="仿宋"/>
          <w:color w:val="000000"/>
        </w:rPr>
      </w:pPr>
      <w:bookmarkStart w:id="59" w:name="_Toc15396620"/>
      <w:r>
        <w:rPr>
          <w:rFonts w:ascii="仿宋" w:eastAsia="仿宋" w:hAnsi="仿宋" w:hint="eastAsia"/>
          <w:b w:val="0"/>
          <w:color w:val="000000"/>
        </w:rPr>
        <w:t>二、收</w:t>
      </w:r>
      <w:r>
        <w:rPr>
          <w:rStyle w:val="2Char"/>
          <w:rFonts w:ascii="仿宋" w:eastAsia="仿宋" w:hAnsi="仿宋" w:hint="eastAsia"/>
        </w:rPr>
        <w:t>入总决算表</w:t>
      </w:r>
      <w:bookmarkEnd w:id="59"/>
    </w:p>
    <w:p w:rsidR="004259E7" w:rsidRDefault="002217CF">
      <w:pPr>
        <w:pStyle w:val="2"/>
        <w:spacing w:line="560" w:lineRule="exact"/>
        <w:rPr>
          <w:rFonts w:ascii="仿宋" w:eastAsia="仿宋" w:hAnsi="仿宋"/>
          <w:color w:val="000000"/>
        </w:rPr>
      </w:pPr>
      <w:bookmarkStart w:id="60"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出总决算表</w:t>
      </w:r>
      <w:bookmarkEnd w:id="60"/>
    </w:p>
    <w:p w:rsidR="004259E7" w:rsidRDefault="002217CF">
      <w:pPr>
        <w:pStyle w:val="2"/>
        <w:spacing w:line="560" w:lineRule="exact"/>
        <w:rPr>
          <w:rFonts w:ascii="仿宋" w:eastAsia="仿宋" w:hAnsi="仿宋"/>
          <w:b w:val="0"/>
          <w:color w:val="000000"/>
        </w:rPr>
      </w:pPr>
      <w:bookmarkStart w:id="61"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1"/>
    </w:p>
    <w:p w:rsidR="004259E7" w:rsidRDefault="002217CF">
      <w:pPr>
        <w:pStyle w:val="2"/>
        <w:spacing w:line="560" w:lineRule="exact"/>
        <w:rPr>
          <w:rFonts w:ascii="仿宋" w:eastAsia="仿宋" w:hAnsi="仿宋"/>
          <w:color w:val="000000"/>
        </w:rPr>
      </w:pPr>
      <w:bookmarkStart w:id="62"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2"/>
    </w:p>
    <w:p w:rsidR="004259E7" w:rsidRDefault="002217CF">
      <w:pPr>
        <w:pStyle w:val="2"/>
        <w:spacing w:line="560" w:lineRule="exact"/>
        <w:rPr>
          <w:rFonts w:ascii="仿宋" w:eastAsia="仿宋" w:hAnsi="仿宋"/>
          <w:color w:val="000000"/>
        </w:rPr>
      </w:pPr>
      <w:bookmarkStart w:id="63"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3"/>
    </w:p>
    <w:p w:rsidR="004259E7" w:rsidRDefault="002217CF">
      <w:pPr>
        <w:pStyle w:val="2"/>
        <w:spacing w:line="560" w:lineRule="exact"/>
        <w:rPr>
          <w:rFonts w:ascii="仿宋" w:eastAsia="仿宋" w:hAnsi="仿宋"/>
          <w:color w:val="000000"/>
        </w:rPr>
      </w:pPr>
      <w:bookmarkStart w:id="64"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4"/>
    </w:p>
    <w:p w:rsidR="004259E7" w:rsidRDefault="002217CF">
      <w:pPr>
        <w:pStyle w:val="2"/>
        <w:spacing w:line="560" w:lineRule="exact"/>
        <w:rPr>
          <w:rFonts w:ascii="仿宋" w:eastAsia="仿宋" w:hAnsi="仿宋"/>
          <w:color w:val="000000"/>
        </w:rPr>
      </w:pPr>
      <w:bookmarkStart w:id="65"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5"/>
    </w:p>
    <w:p w:rsidR="004259E7" w:rsidRDefault="002217CF">
      <w:pPr>
        <w:pStyle w:val="2"/>
        <w:spacing w:line="560" w:lineRule="exact"/>
        <w:rPr>
          <w:rFonts w:ascii="仿宋" w:eastAsia="仿宋" w:hAnsi="仿宋"/>
          <w:color w:val="000000"/>
        </w:rPr>
      </w:pPr>
      <w:bookmarkStart w:id="66"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6"/>
    </w:p>
    <w:p w:rsidR="004259E7" w:rsidRDefault="002217CF">
      <w:pPr>
        <w:pStyle w:val="2"/>
        <w:spacing w:line="560" w:lineRule="exact"/>
        <w:rPr>
          <w:rFonts w:ascii="仿宋" w:eastAsia="仿宋" w:hAnsi="仿宋"/>
          <w:color w:val="000000"/>
        </w:rPr>
      </w:pPr>
      <w:bookmarkStart w:id="67"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7"/>
    </w:p>
    <w:p w:rsidR="004259E7" w:rsidRDefault="002217CF">
      <w:pPr>
        <w:pStyle w:val="2"/>
        <w:spacing w:line="560" w:lineRule="exact"/>
        <w:rPr>
          <w:rFonts w:ascii="仿宋" w:eastAsia="仿宋" w:hAnsi="仿宋"/>
          <w:color w:val="000000"/>
        </w:rPr>
      </w:pPr>
      <w:bookmarkStart w:id="68"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8"/>
    </w:p>
    <w:p w:rsidR="004259E7" w:rsidRDefault="002217CF">
      <w:pPr>
        <w:pStyle w:val="2"/>
        <w:spacing w:line="560" w:lineRule="exact"/>
        <w:rPr>
          <w:rFonts w:ascii="仿宋" w:eastAsia="仿宋" w:hAnsi="仿宋"/>
          <w:color w:val="000000"/>
        </w:rPr>
      </w:pPr>
      <w:bookmarkStart w:id="69"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9"/>
    </w:p>
    <w:p w:rsidR="004259E7" w:rsidRDefault="002217CF">
      <w:pPr>
        <w:pStyle w:val="2"/>
        <w:spacing w:line="560" w:lineRule="exact"/>
        <w:rPr>
          <w:rFonts w:ascii="仿宋" w:eastAsia="仿宋" w:hAnsi="仿宋"/>
          <w:color w:val="000000" w:themeColor="text1"/>
        </w:rPr>
      </w:pPr>
      <w:bookmarkStart w:id="70"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0"/>
    </w:p>
    <w:sectPr w:rsidR="004259E7" w:rsidSect="004259E7">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327" w:rsidRDefault="00BB6327" w:rsidP="004259E7">
      <w:r>
        <w:separator/>
      </w:r>
    </w:p>
  </w:endnote>
  <w:endnote w:type="continuationSeparator" w:id="1">
    <w:p w:rsidR="00BB6327" w:rsidRDefault="00BB6327" w:rsidP="00425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default"/>
    <w:sig w:usb0="00000000"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楷体">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4259E7" w:rsidRDefault="00E961E2">
        <w:pPr>
          <w:pStyle w:val="a5"/>
          <w:jc w:val="center"/>
        </w:pPr>
        <w:r w:rsidRPr="00E961E2">
          <w:fldChar w:fldCharType="begin"/>
        </w:r>
        <w:r w:rsidR="002217CF">
          <w:instrText>PAGE   \* MERGEFORMAT</w:instrText>
        </w:r>
        <w:r w:rsidRPr="00E961E2">
          <w:fldChar w:fldCharType="separate"/>
        </w:r>
        <w:r w:rsidR="00780AE9" w:rsidRPr="00780AE9">
          <w:rPr>
            <w:noProof/>
            <w:lang w:val="zh-CN"/>
          </w:rPr>
          <w:t>18</w:t>
        </w:r>
        <w:r>
          <w:rPr>
            <w:lang w:val="zh-CN"/>
          </w:rPr>
          <w:fldChar w:fldCharType="end"/>
        </w:r>
      </w:p>
    </w:sdtContent>
  </w:sdt>
  <w:p w:rsidR="004259E7" w:rsidRDefault="004259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327" w:rsidRDefault="00BB6327" w:rsidP="004259E7">
      <w:r>
        <w:separator/>
      </w:r>
    </w:p>
  </w:footnote>
  <w:footnote w:type="continuationSeparator" w:id="1">
    <w:p w:rsidR="00BB6327" w:rsidRDefault="00BB6327" w:rsidP="00425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E7" w:rsidRDefault="004259E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40937D65"/>
    <w:multiLevelType w:val="singleLevel"/>
    <w:tmpl w:val="40937D65"/>
    <w:lvl w:ilvl="0">
      <w:start w:val="1"/>
      <w:numFmt w:val="decimal"/>
      <w:suff w:val="nothing"/>
      <w:lvlText w:val="%1、"/>
      <w:lvlJc w:val="left"/>
      <w:rPr>
        <w:rFonts w:ascii="仿宋_GB2312" w:eastAsia="仿宋_GB2312" w:hAnsi="宋体" w:cs="宋体"/>
      </w:rPr>
    </w:lvl>
  </w:abstractNum>
  <w:abstractNum w:abstractNumId="6">
    <w:nsid w:val="59EEB77A"/>
    <w:multiLevelType w:val="singleLevel"/>
    <w:tmpl w:val="59EEB77A"/>
    <w:lvl w:ilvl="0">
      <w:start w:val="1"/>
      <w:numFmt w:val="decimal"/>
      <w:suff w:val="nothing"/>
      <w:lvlText w:val="%1、"/>
      <w:lvlJc w:val="left"/>
    </w:lvl>
  </w:abstractNum>
  <w:abstractNum w:abstractNumId="7">
    <w:nsid w:val="5F72ADBB"/>
    <w:multiLevelType w:val="singleLevel"/>
    <w:tmpl w:val="622EFE0E"/>
    <w:lvl w:ilvl="0">
      <w:start w:val="1"/>
      <w:numFmt w:val="decimal"/>
      <w:suff w:val="nothing"/>
      <w:lvlText w:val="%1."/>
      <w:lvlJc w:val="left"/>
      <w:rPr>
        <w:color w:val="auto"/>
      </w:rPr>
    </w:lvl>
  </w:abstractNum>
  <w:abstractNum w:abstractNumId="8">
    <w:nsid w:val="69A64963"/>
    <w:multiLevelType w:val="multilevel"/>
    <w:tmpl w:val="69A64963"/>
    <w:lvl w:ilvl="0">
      <w:start w:val="2"/>
      <w:numFmt w:val="japaneseCounting"/>
      <w:lvlText w:val="%1、"/>
      <w:lvlJc w:val="left"/>
      <w:pPr>
        <w:ind w:left="720" w:hanging="720"/>
      </w:pPr>
      <w:rPr>
        <w:rFonts w:ascii="黑体" w:eastAsia="黑体"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3"/>
  </w:num>
  <w:num w:numId="4">
    <w:abstractNumId w:val="7"/>
  </w:num>
  <w:num w:numId="5">
    <w:abstractNumId w:val="0"/>
  </w:num>
  <w:num w:numId="6">
    <w:abstractNumId w:val="4"/>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3016"/>
    <w:rsid w:val="000222C6"/>
    <w:rsid w:val="0002549F"/>
    <w:rsid w:val="000340D3"/>
    <w:rsid w:val="00046D64"/>
    <w:rsid w:val="000609DA"/>
    <w:rsid w:val="0006487A"/>
    <w:rsid w:val="00065F8F"/>
    <w:rsid w:val="00067AB5"/>
    <w:rsid w:val="00074297"/>
    <w:rsid w:val="000768F2"/>
    <w:rsid w:val="00086D12"/>
    <w:rsid w:val="0009184B"/>
    <w:rsid w:val="0009593C"/>
    <w:rsid w:val="000B0471"/>
    <w:rsid w:val="000B047F"/>
    <w:rsid w:val="000B12DE"/>
    <w:rsid w:val="000B5923"/>
    <w:rsid w:val="000B5A48"/>
    <w:rsid w:val="000B6B53"/>
    <w:rsid w:val="000B6FF3"/>
    <w:rsid w:val="000C1593"/>
    <w:rsid w:val="000C3467"/>
    <w:rsid w:val="000C3CA6"/>
    <w:rsid w:val="000C4DE4"/>
    <w:rsid w:val="000C5588"/>
    <w:rsid w:val="000C6D87"/>
    <w:rsid w:val="000C75C3"/>
    <w:rsid w:val="000D1267"/>
    <w:rsid w:val="000D1D50"/>
    <w:rsid w:val="000D5782"/>
    <w:rsid w:val="000E6613"/>
    <w:rsid w:val="000E7119"/>
    <w:rsid w:val="000F4D50"/>
    <w:rsid w:val="00110C19"/>
    <w:rsid w:val="001111E1"/>
    <w:rsid w:val="0011201F"/>
    <w:rsid w:val="00114E9B"/>
    <w:rsid w:val="001247AB"/>
    <w:rsid w:val="00124FC9"/>
    <w:rsid w:val="001279B0"/>
    <w:rsid w:val="00140132"/>
    <w:rsid w:val="0014729F"/>
    <w:rsid w:val="001522CC"/>
    <w:rsid w:val="0015265B"/>
    <w:rsid w:val="00157BAB"/>
    <w:rsid w:val="001654D1"/>
    <w:rsid w:val="00166E45"/>
    <w:rsid w:val="0017314D"/>
    <w:rsid w:val="0018106D"/>
    <w:rsid w:val="001877A7"/>
    <w:rsid w:val="00191536"/>
    <w:rsid w:val="00191AAE"/>
    <w:rsid w:val="00196687"/>
    <w:rsid w:val="001B087B"/>
    <w:rsid w:val="001C0962"/>
    <w:rsid w:val="001C0C1A"/>
    <w:rsid w:val="001C43F8"/>
    <w:rsid w:val="001C442E"/>
    <w:rsid w:val="001D2BD4"/>
    <w:rsid w:val="001D3634"/>
    <w:rsid w:val="001D7531"/>
    <w:rsid w:val="001D77CA"/>
    <w:rsid w:val="001E737D"/>
    <w:rsid w:val="001F0592"/>
    <w:rsid w:val="001F7506"/>
    <w:rsid w:val="002006CD"/>
    <w:rsid w:val="00202B36"/>
    <w:rsid w:val="00204689"/>
    <w:rsid w:val="00204B7A"/>
    <w:rsid w:val="002064AD"/>
    <w:rsid w:val="0021101A"/>
    <w:rsid w:val="00220536"/>
    <w:rsid w:val="002217CF"/>
    <w:rsid w:val="00225354"/>
    <w:rsid w:val="00225C70"/>
    <w:rsid w:val="00235629"/>
    <w:rsid w:val="0023796B"/>
    <w:rsid w:val="00243763"/>
    <w:rsid w:val="00247DDD"/>
    <w:rsid w:val="00251D85"/>
    <w:rsid w:val="00253524"/>
    <w:rsid w:val="00255B9F"/>
    <w:rsid w:val="00260186"/>
    <w:rsid w:val="00260C38"/>
    <w:rsid w:val="002616C0"/>
    <w:rsid w:val="002662AA"/>
    <w:rsid w:val="002757A4"/>
    <w:rsid w:val="00280496"/>
    <w:rsid w:val="002804B9"/>
    <w:rsid w:val="0028299B"/>
    <w:rsid w:val="00283CB8"/>
    <w:rsid w:val="00295495"/>
    <w:rsid w:val="002B2069"/>
    <w:rsid w:val="002B2613"/>
    <w:rsid w:val="002B62FE"/>
    <w:rsid w:val="002C485B"/>
    <w:rsid w:val="002D4565"/>
    <w:rsid w:val="002F1818"/>
    <w:rsid w:val="002F4A65"/>
    <w:rsid w:val="002F567B"/>
    <w:rsid w:val="002F5D05"/>
    <w:rsid w:val="00302091"/>
    <w:rsid w:val="0030763E"/>
    <w:rsid w:val="00307F35"/>
    <w:rsid w:val="0031685A"/>
    <w:rsid w:val="003216A9"/>
    <w:rsid w:val="00334188"/>
    <w:rsid w:val="003449BA"/>
    <w:rsid w:val="0037013F"/>
    <w:rsid w:val="00373F41"/>
    <w:rsid w:val="00375CDC"/>
    <w:rsid w:val="00380C92"/>
    <w:rsid w:val="003832BE"/>
    <w:rsid w:val="00384311"/>
    <w:rsid w:val="003A484F"/>
    <w:rsid w:val="003B0BE0"/>
    <w:rsid w:val="003B0C1B"/>
    <w:rsid w:val="003B3CC8"/>
    <w:rsid w:val="003B688C"/>
    <w:rsid w:val="003B79CC"/>
    <w:rsid w:val="003C0291"/>
    <w:rsid w:val="003C39AE"/>
    <w:rsid w:val="003C7B60"/>
    <w:rsid w:val="003D1FB2"/>
    <w:rsid w:val="003D66DA"/>
    <w:rsid w:val="003E1310"/>
    <w:rsid w:val="003E2412"/>
    <w:rsid w:val="003E4D03"/>
    <w:rsid w:val="003E6F55"/>
    <w:rsid w:val="003E7D88"/>
    <w:rsid w:val="003F214B"/>
    <w:rsid w:val="003F3F9D"/>
    <w:rsid w:val="003F4D06"/>
    <w:rsid w:val="003F65FF"/>
    <w:rsid w:val="00402F2C"/>
    <w:rsid w:val="00406254"/>
    <w:rsid w:val="00407DA0"/>
    <w:rsid w:val="00414253"/>
    <w:rsid w:val="00421133"/>
    <w:rsid w:val="004223DE"/>
    <w:rsid w:val="004259E7"/>
    <w:rsid w:val="004273C1"/>
    <w:rsid w:val="00434489"/>
    <w:rsid w:val="00437085"/>
    <w:rsid w:val="00443880"/>
    <w:rsid w:val="004464F4"/>
    <w:rsid w:val="00471401"/>
    <w:rsid w:val="00473F31"/>
    <w:rsid w:val="0048263A"/>
    <w:rsid w:val="00487E5D"/>
    <w:rsid w:val="004A11D7"/>
    <w:rsid w:val="004A711F"/>
    <w:rsid w:val="004B199D"/>
    <w:rsid w:val="004B4690"/>
    <w:rsid w:val="004C2714"/>
    <w:rsid w:val="004C75EC"/>
    <w:rsid w:val="004D499A"/>
    <w:rsid w:val="004E0A2D"/>
    <w:rsid w:val="004E1BB5"/>
    <w:rsid w:val="004E206B"/>
    <w:rsid w:val="004E6DF7"/>
    <w:rsid w:val="004F02EE"/>
    <w:rsid w:val="004F0FBD"/>
    <w:rsid w:val="004F5DCA"/>
    <w:rsid w:val="00505A47"/>
    <w:rsid w:val="00510C7E"/>
    <w:rsid w:val="00512FDA"/>
    <w:rsid w:val="00520DA0"/>
    <w:rsid w:val="00535926"/>
    <w:rsid w:val="00535BC2"/>
    <w:rsid w:val="00550E2D"/>
    <w:rsid w:val="00553F54"/>
    <w:rsid w:val="005664BB"/>
    <w:rsid w:val="0057481D"/>
    <w:rsid w:val="00575608"/>
    <w:rsid w:val="00581703"/>
    <w:rsid w:val="0058486E"/>
    <w:rsid w:val="00593B16"/>
    <w:rsid w:val="00597402"/>
    <w:rsid w:val="005A582F"/>
    <w:rsid w:val="005C09F7"/>
    <w:rsid w:val="005C460F"/>
    <w:rsid w:val="005D0876"/>
    <w:rsid w:val="005D1C8B"/>
    <w:rsid w:val="005D243D"/>
    <w:rsid w:val="005D3393"/>
    <w:rsid w:val="005D3B92"/>
    <w:rsid w:val="005D4E62"/>
    <w:rsid w:val="005D5CED"/>
    <w:rsid w:val="005E2C22"/>
    <w:rsid w:val="005E49E1"/>
    <w:rsid w:val="005F1A4C"/>
    <w:rsid w:val="005F27D0"/>
    <w:rsid w:val="005F4C72"/>
    <w:rsid w:val="005F5966"/>
    <w:rsid w:val="00600978"/>
    <w:rsid w:val="006027C1"/>
    <w:rsid w:val="00605688"/>
    <w:rsid w:val="006070AF"/>
    <w:rsid w:val="00607E6C"/>
    <w:rsid w:val="006101B1"/>
    <w:rsid w:val="00614E44"/>
    <w:rsid w:val="006159ED"/>
    <w:rsid w:val="00622830"/>
    <w:rsid w:val="00624D2C"/>
    <w:rsid w:val="00626539"/>
    <w:rsid w:val="00630AEF"/>
    <w:rsid w:val="006325F8"/>
    <w:rsid w:val="00634C9A"/>
    <w:rsid w:val="00635ED0"/>
    <w:rsid w:val="0063677E"/>
    <w:rsid w:val="0064198C"/>
    <w:rsid w:val="006440E4"/>
    <w:rsid w:val="006451DA"/>
    <w:rsid w:val="006575DF"/>
    <w:rsid w:val="00660839"/>
    <w:rsid w:val="0066253B"/>
    <w:rsid w:val="0066343B"/>
    <w:rsid w:val="00664777"/>
    <w:rsid w:val="006748A4"/>
    <w:rsid w:val="006802CD"/>
    <w:rsid w:val="00683E73"/>
    <w:rsid w:val="006932E2"/>
    <w:rsid w:val="006942CD"/>
    <w:rsid w:val="006964B5"/>
    <w:rsid w:val="006A3141"/>
    <w:rsid w:val="006A5E34"/>
    <w:rsid w:val="006B0DCB"/>
    <w:rsid w:val="006B2422"/>
    <w:rsid w:val="006B2B9A"/>
    <w:rsid w:val="006C1937"/>
    <w:rsid w:val="006E0D82"/>
    <w:rsid w:val="006E6925"/>
    <w:rsid w:val="006F020C"/>
    <w:rsid w:val="006F4483"/>
    <w:rsid w:val="006F50F2"/>
    <w:rsid w:val="006F6837"/>
    <w:rsid w:val="00706608"/>
    <w:rsid w:val="00711DC4"/>
    <w:rsid w:val="007127B7"/>
    <w:rsid w:val="0073476E"/>
    <w:rsid w:val="007416B6"/>
    <w:rsid w:val="00746F48"/>
    <w:rsid w:val="00750669"/>
    <w:rsid w:val="0075348A"/>
    <w:rsid w:val="0075404D"/>
    <w:rsid w:val="007574D1"/>
    <w:rsid w:val="0076182A"/>
    <w:rsid w:val="00763B62"/>
    <w:rsid w:val="00766B8E"/>
    <w:rsid w:val="00767B7E"/>
    <w:rsid w:val="00770662"/>
    <w:rsid w:val="007770C3"/>
    <w:rsid w:val="00780AE9"/>
    <w:rsid w:val="00784D24"/>
    <w:rsid w:val="00785FBA"/>
    <w:rsid w:val="00786E4A"/>
    <w:rsid w:val="007875EB"/>
    <w:rsid w:val="0079085C"/>
    <w:rsid w:val="00791F0F"/>
    <w:rsid w:val="0079426B"/>
    <w:rsid w:val="007A197B"/>
    <w:rsid w:val="007A1FE3"/>
    <w:rsid w:val="007A4D6F"/>
    <w:rsid w:val="007B186F"/>
    <w:rsid w:val="007C3DB7"/>
    <w:rsid w:val="007D1AC4"/>
    <w:rsid w:val="007D312A"/>
    <w:rsid w:val="007D3F19"/>
    <w:rsid w:val="007E23B0"/>
    <w:rsid w:val="007E2EB6"/>
    <w:rsid w:val="007F1991"/>
    <w:rsid w:val="007F2C2F"/>
    <w:rsid w:val="007F55FC"/>
    <w:rsid w:val="007F5665"/>
    <w:rsid w:val="00800112"/>
    <w:rsid w:val="00807B59"/>
    <w:rsid w:val="008106BB"/>
    <w:rsid w:val="00822DA6"/>
    <w:rsid w:val="008253BB"/>
    <w:rsid w:val="00825610"/>
    <w:rsid w:val="00832295"/>
    <w:rsid w:val="0083706E"/>
    <w:rsid w:val="008423A5"/>
    <w:rsid w:val="00842D14"/>
    <w:rsid w:val="00850625"/>
    <w:rsid w:val="00853718"/>
    <w:rsid w:val="00855221"/>
    <w:rsid w:val="00860645"/>
    <w:rsid w:val="00861EA1"/>
    <w:rsid w:val="00862093"/>
    <w:rsid w:val="00866924"/>
    <w:rsid w:val="00871DF2"/>
    <w:rsid w:val="00871F71"/>
    <w:rsid w:val="00885AF4"/>
    <w:rsid w:val="00892932"/>
    <w:rsid w:val="008939CD"/>
    <w:rsid w:val="008A585E"/>
    <w:rsid w:val="008B768C"/>
    <w:rsid w:val="008C16B0"/>
    <w:rsid w:val="008C4DB1"/>
    <w:rsid w:val="008C4EAF"/>
    <w:rsid w:val="008C509F"/>
    <w:rsid w:val="008C5176"/>
    <w:rsid w:val="008C7FD0"/>
    <w:rsid w:val="008D4E57"/>
    <w:rsid w:val="008E1DE7"/>
    <w:rsid w:val="008E2430"/>
    <w:rsid w:val="008E58D1"/>
    <w:rsid w:val="008E707C"/>
    <w:rsid w:val="008F26F6"/>
    <w:rsid w:val="008F2C81"/>
    <w:rsid w:val="008F3A63"/>
    <w:rsid w:val="008F5B66"/>
    <w:rsid w:val="008F7F1A"/>
    <w:rsid w:val="00900B08"/>
    <w:rsid w:val="00902155"/>
    <w:rsid w:val="009027CB"/>
    <w:rsid w:val="00902FA3"/>
    <w:rsid w:val="00910834"/>
    <w:rsid w:val="00914342"/>
    <w:rsid w:val="00920DA4"/>
    <w:rsid w:val="00923564"/>
    <w:rsid w:val="0092392E"/>
    <w:rsid w:val="009315F9"/>
    <w:rsid w:val="00931E51"/>
    <w:rsid w:val="0093576B"/>
    <w:rsid w:val="00943097"/>
    <w:rsid w:val="00946945"/>
    <w:rsid w:val="00951248"/>
    <w:rsid w:val="0095132D"/>
    <w:rsid w:val="0095152F"/>
    <w:rsid w:val="00954C49"/>
    <w:rsid w:val="00957341"/>
    <w:rsid w:val="009611D1"/>
    <w:rsid w:val="00967DD6"/>
    <w:rsid w:val="0097099F"/>
    <w:rsid w:val="00971997"/>
    <w:rsid w:val="00971FFC"/>
    <w:rsid w:val="00985029"/>
    <w:rsid w:val="0098660A"/>
    <w:rsid w:val="009931C3"/>
    <w:rsid w:val="009A264E"/>
    <w:rsid w:val="009A2804"/>
    <w:rsid w:val="009A316F"/>
    <w:rsid w:val="009A3F78"/>
    <w:rsid w:val="009B2C43"/>
    <w:rsid w:val="009B4EAE"/>
    <w:rsid w:val="009B7573"/>
    <w:rsid w:val="009C22F4"/>
    <w:rsid w:val="009C2E98"/>
    <w:rsid w:val="009C52DA"/>
    <w:rsid w:val="009D3447"/>
    <w:rsid w:val="009D4711"/>
    <w:rsid w:val="009E00E8"/>
    <w:rsid w:val="009E04CA"/>
    <w:rsid w:val="009E1A64"/>
    <w:rsid w:val="009E5B7B"/>
    <w:rsid w:val="009F1185"/>
    <w:rsid w:val="009F18CD"/>
    <w:rsid w:val="009F2A13"/>
    <w:rsid w:val="009F7DA9"/>
    <w:rsid w:val="00A04EB0"/>
    <w:rsid w:val="00A13CC1"/>
    <w:rsid w:val="00A16847"/>
    <w:rsid w:val="00A20E45"/>
    <w:rsid w:val="00A22221"/>
    <w:rsid w:val="00A237D8"/>
    <w:rsid w:val="00A268C4"/>
    <w:rsid w:val="00A2748B"/>
    <w:rsid w:val="00A307CD"/>
    <w:rsid w:val="00A40A00"/>
    <w:rsid w:val="00A4142F"/>
    <w:rsid w:val="00A56DF2"/>
    <w:rsid w:val="00A67AB5"/>
    <w:rsid w:val="00A70786"/>
    <w:rsid w:val="00A75762"/>
    <w:rsid w:val="00A819D6"/>
    <w:rsid w:val="00A91760"/>
    <w:rsid w:val="00A91D0B"/>
    <w:rsid w:val="00A93986"/>
    <w:rsid w:val="00A93B00"/>
    <w:rsid w:val="00A93C21"/>
    <w:rsid w:val="00AA0E7F"/>
    <w:rsid w:val="00AB6CF7"/>
    <w:rsid w:val="00AB76D9"/>
    <w:rsid w:val="00AB785F"/>
    <w:rsid w:val="00AC3C6A"/>
    <w:rsid w:val="00AC4D9C"/>
    <w:rsid w:val="00AD5620"/>
    <w:rsid w:val="00AD7C1B"/>
    <w:rsid w:val="00AE16BA"/>
    <w:rsid w:val="00AE1EBE"/>
    <w:rsid w:val="00AE4E0A"/>
    <w:rsid w:val="00B032DA"/>
    <w:rsid w:val="00B03C9D"/>
    <w:rsid w:val="00B060AE"/>
    <w:rsid w:val="00B10517"/>
    <w:rsid w:val="00B1084E"/>
    <w:rsid w:val="00B13AFF"/>
    <w:rsid w:val="00B14E76"/>
    <w:rsid w:val="00B161B8"/>
    <w:rsid w:val="00B16C1F"/>
    <w:rsid w:val="00B2048C"/>
    <w:rsid w:val="00B25882"/>
    <w:rsid w:val="00B310B9"/>
    <w:rsid w:val="00B35F3F"/>
    <w:rsid w:val="00B36CBB"/>
    <w:rsid w:val="00B4124A"/>
    <w:rsid w:val="00B425E0"/>
    <w:rsid w:val="00B440AA"/>
    <w:rsid w:val="00B44B70"/>
    <w:rsid w:val="00B46F82"/>
    <w:rsid w:val="00B4715D"/>
    <w:rsid w:val="00B53C56"/>
    <w:rsid w:val="00B6561D"/>
    <w:rsid w:val="00B77EA6"/>
    <w:rsid w:val="00B8056C"/>
    <w:rsid w:val="00B81598"/>
    <w:rsid w:val="00B841F1"/>
    <w:rsid w:val="00B944D6"/>
    <w:rsid w:val="00BA4700"/>
    <w:rsid w:val="00BA48F3"/>
    <w:rsid w:val="00BA75DB"/>
    <w:rsid w:val="00BB2929"/>
    <w:rsid w:val="00BB3D9C"/>
    <w:rsid w:val="00BB4DF0"/>
    <w:rsid w:val="00BB6327"/>
    <w:rsid w:val="00BC289F"/>
    <w:rsid w:val="00BC5361"/>
    <w:rsid w:val="00BC5460"/>
    <w:rsid w:val="00BC6B50"/>
    <w:rsid w:val="00BC6C93"/>
    <w:rsid w:val="00BD0E25"/>
    <w:rsid w:val="00BE0050"/>
    <w:rsid w:val="00BE119E"/>
    <w:rsid w:val="00BE3915"/>
    <w:rsid w:val="00BE497F"/>
    <w:rsid w:val="00BF5BD6"/>
    <w:rsid w:val="00C00CE3"/>
    <w:rsid w:val="00C03E31"/>
    <w:rsid w:val="00C13F06"/>
    <w:rsid w:val="00C2331C"/>
    <w:rsid w:val="00C23788"/>
    <w:rsid w:val="00C31E41"/>
    <w:rsid w:val="00C33E72"/>
    <w:rsid w:val="00C354B2"/>
    <w:rsid w:val="00C35554"/>
    <w:rsid w:val="00C42709"/>
    <w:rsid w:val="00C52E27"/>
    <w:rsid w:val="00C533CC"/>
    <w:rsid w:val="00C54CB5"/>
    <w:rsid w:val="00C5751C"/>
    <w:rsid w:val="00C61BFC"/>
    <w:rsid w:val="00C62B85"/>
    <w:rsid w:val="00C6432E"/>
    <w:rsid w:val="00C65438"/>
    <w:rsid w:val="00C7081B"/>
    <w:rsid w:val="00C71C46"/>
    <w:rsid w:val="00C90054"/>
    <w:rsid w:val="00C91316"/>
    <w:rsid w:val="00C91CBB"/>
    <w:rsid w:val="00C939AD"/>
    <w:rsid w:val="00C958C0"/>
    <w:rsid w:val="00CA1E0B"/>
    <w:rsid w:val="00CA2B71"/>
    <w:rsid w:val="00CC09B6"/>
    <w:rsid w:val="00CC1AAF"/>
    <w:rsid w:val="00CC666F"/>
    <w:rsid w:val="00CC6D25"/>
    <w:rsid w:val="00CD1E3F"/>
    <w:rsid w:val="00CE44F6"/>
    <w:rsid w:val="00CE49DA"/>
    <w:rsid w:val="00CE7B61"/>
    <w:rsid w:val="00CF01D0"/>
    <w:rsid w:val="00CF14CA"/>
    <w:rsid w:val="00CF756F"/>
    <w:rsid w:val="00D00095"/>
    <w:rsid w:val="00D0144D"/>
    <w:rsid w:val="00D04B21"/>
    <w:rsid w:val="00D16E6D"/>
    <w:rsid w:val="00D1739F"/>
    <w:rsid w:val="00D202AF"/>
    <w:rsid w:val="00D20620"/>
    <w:rsid w:val="00D20832"/>
    <w:rsid w:val="00D21FE6"/>
    <w:rsid w:val="00D243B8"/>
    <w:rsid w:val="00D26091"/>
    <w:rsid w:val="00D30BEA"/>
    <w:rsid w:val="00D34E7C"/>
    <w:rsid w:val="00D35489"/>
    <w:rsid w:val="00D405D4"/>
    <w:rsid w:val="00D51276"/>
    <w:rsid w:val="00D52975"/>
    <w:rsid w:val="00D63CF6"/>
    <w:rsid w:val="00D7035F"/>
    <w:rsid w:val="00D70B20"/>
    <w:rsid w:val="00D74C4E"/>
    <w:rsid w:val="00D81E18"/>
    <w:rsid w:val="00D9630F"/>
    <w:rsid w:val="00D97D21"/>
    <w:rsid w:val="00DA65AC"/>
    <w:rsid w:val="00DB1913"/>
    <w:rsid w:val="00DB3F0C"/>
    <w:rsid w:val="00DC410D"/>
    <w:rsid w:val="00DC68CA"/>
    <w:rsid w:val="00DC7CBA"/>
    <w:rsid w:val="00DD73B7"/>
    <w:rsid w:val="00DE7A1B"/>
    <w:rsid w:val="00DF008C"/>
    <w:rsid w:val="00DF17F7"/>
    <w:rsid w:val="00DF28BC"/>
    <w:rsid w:val="00DF34B9"/>
    <w:rsid w:val="00E01053"/>
    <w:rsid w:val="00E03062"/>
    <w:rsid w:val="00E07ACF"/>
    <w:rsid w:val="00E10553"/>
    <w:rsid w:val="00E331A1"/>
    <w:rsid w:val="00E33202"/>
    <w:rsid w:val="00E336A9"/>
    <w:rsid w:val="00E41AA8"/>
    <w:rsid w:val="00E45522"/>
    <w:rsid w:val="00E45A00"/>
    <w:rsid w:val="00E50624"/>
    <w:rsid w:val="00E568DF"/>
    <w:rsid w:val="00E60B26"/>
    <w:rsid w:val="00E61BCD"/>
    <w:rsid w:val="00E64269"/>
    <w:rsid w:val="00E723D6"/>
    <w:rsid w:val="00E82267"/>
    <w:rsid w:val="00E90FD3"/>
    <w:rsid w:val="00E961E2"/>
    <w:rsid w:val="00E9792D"/>
    <w:rsid w:val="00EA010F"/>
    <w:rsid w:val="00EC027C"/>
    <w:rsid w:val="00EC66DC"/>
    <w:rsid w:val="00ED1B63"/>
    <w:rsid w:val="00ED2ED1"/>
    <w:rsid w:val="00ED3C1F"/>
    <w:rsid w:val="00ED4085"/>
    <w:rsid w:val="00ED420E"/>
    <w:rsid w:val="00EE1482"/>
    <w:rsid w:val="00EE2F57"/>
    <w:rsid w:val="00EF4C34"/>
    <w:rsid w:val="00EF6213"/>
    <w:rsid w:val="00EF77C6"/>
    <w:rsid w:val="00F05438"/>
    <w:rsid w:val="00F1361C"/>
    <w:rsid w:val="00F160C7"/>
    <w:rsid w:val="00F1749E"/>
    <w:rsid w:val="00F23A7B"/>
    <w:rsid w:val="00F309CF"/>
    <w:rsid w:val="00F36D8F"/>
    <w:rsid w:val="00F37479"/>
    <w:rsid w:val="00F40654"/>
    <w:rsid w:val="00F417B1"/>
    <w:rsid w:val="00F44402"/>
    <w:rsid w:val="00F54715"/>
    <w:rsid w:val="00F602DF"/>
    <w:rsid w:val="00F639EA"/>
    <w:rsid w:val="00F6790C"/>
    <w:rsid w:val="00F67F7D"/>
    <w:rsid w:val="00F81FD9"/>
    <w:rsid w:val="00F841AA"/>
    <w:rsid w:val="00F860B7"/>
    <w:rsid w:val="00F86673"/>
    <w:rsid w:val="00F976E1"/>
    <w:rsid w:val="00FA1AEC"/>
    <w:rsid w:val="00FA1CF5"/>
    <w:rsid w:val="00FA23E8"/>
    <w:rsid w:val="00FB31A3"/>
    <w:rsid w:val="00FC4932"/>
    <w:rsid w:val="00FD3CC1"/>
    <w:rsid w:val="00FD5657"/>
    <w:rsid w:val="00FF1E02"/>
    <w:rsid w:val="00FF303C"/>
    <w:rsid w:val="00FF30B4"/>
    <w:rsid w:val="10C055FF"/>
    <w:rsid w:val="16BB723D"/>
    <w:rsid w:val="1ECE51AA"/>
    <w:rsid w:val="240371BF"/>
    <w:rsid w:val="29FD04D3"/>
    <w:rsid w:val="319F7F4E"/>
    <w:rsid w:val="47DF3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9E7"/>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4259E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259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259E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4259E7"/>
    <w:pPr>
      <w:spacing w:beforeLines="30"/>
    </w:pPr>
    <w:rPr>
      <w:rFonts w:ascii="仿宋_GB2312" w:eastAsia="仿宋_GB2312"/>
      <w:kern w:val="0"/>
      <w:sz w:val="30"/>
    </w:rPr>
  </w:style>
  <w:style w:type="paragraph" w:styleId="30">
    <w:name w:val="toc 3"/>
    <w:basedOn w:val="a"/>
    <w:next w:val="a"/>
    <w:uiPriority w:val="39"/>
    <w:unhideWhenUsed/>
    <w:qFormat/>
    <w:rsid w:val="004259E7"/>
    <w:pPr>
      <w:tabs>
        <w:tab w:val="right" w:leader="dot" w:pos="8296"/>
      </w:tabs>
      <w:ind w:leftChars="400" w:left="840"/>
    </w:pPr>
  </w:style>
  <w:style w:type="paragraph" w:styleId="a4">
    <w:name w:val="Balloon Text"/>
    <w:basedOn w:val="a"/>
    <w:link w:val="Char0"/>
    <w:uiPriority w:val="99"/>
    <w:unhideWhenUsed/>
    <w:rsid w:val="004259E7"/>
    <w:rPr>
      <w:sz w:val="18"/>
      <w:szCs w:val="18"/>
    </w:rPr>
  </w:style>
  <w:style w:type="paragraph" w:styleId="a5">
    <w:name w:val="footer"/>
    <w:basedOn w:val="a"/>
    <w:link w:val="Char1"/>
    <w:uiPriority w:val="99"/>
    <w:rsid w:val="004259E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rsid w:val="004259E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259E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259E7"/>
    <w:pPr>
      <w:tabs>
        <w:tab w:val="right" w:leader="dot" w:pos="8296"/>
      </w:tabs>
      <w:ind w:leftChars="200" w:left="420"/>
    </w:pPr>
  </w:style>
  <w:style w:type="character" w:styleId="a7">
    <w:name w:val="Strong"/>
    <w:basedOn w:val="a0"/>
    <w:uiPriority w:val="22"/>
    <w:qFormat/>
    <w:rsid w:val="004259E7"/>
    <w:rPr>
      <w:b/>
    </w:rPr>
  </w:style>
  <w:style w:type="character" w:styleId="a8">
    <w:name w:val="Hyperlink"/>
    <w:basedOn w:val="a0"/>
    <w:uiPriority w:val="99"/>
    <w:unhideWhenUsed/>
    <w:qFormat/>
    <w:rsid w:val="004259E7"/>
    <w:rPr>
      <w:color w:val="0000FF" w:themeColor="hyperlink"/>
      <w:u w:val="single"/>
    </w:rPr>
  </w:style>
  <w:style w:type="character" w:customStyle="1" w:styleId="HeaderChar">
    <w:name w:val="Header Char"/>
    <w:basedOn w:val="a0"/>
    <w:uiPriority w:val="99"/>
    <w:semiHidden/>
    <w:rsid w:val="004259E7"/>
    <w:rPr>
      <w:rFonts w:ascii="Times New Roman" w:hAnsi="Times New Roman"/>
      <w:sz w:val="18"/>
      <w:szCs w:val="18"/>
    </w:rPr>
  </w:style>
  <w:style w:type="character" w:customStyle="1" w:styleId="Char2">
    <w:name w:val="页眉 Char"/>
    <w:link w:val="a6"/>
    <w:uiPriority w:val="99"/>
    <w:semiHidden/>
    <w:locked/>
    <w:rsid w:val="004259E7"/>
    <w:rPr>
      <w:sz w:val="18"/>
    </w:rPr>
  </w:style>
  <w:style w:type="character" w:customStyle="1" w:styleId="FooterChar">
    <w:name w:val="Footer Char"/>
    <w:basedOn w:val="a0"/>
    <w:uiPriority w:val="99"/>
    <w:semiHidden/>
    <w:qFormat/>
    <w:rsid w:val="004259E7"/>
    <w:rPr>
      <w:rFonts w:ascii="Times New Roman" w:hAnsi="Times New Roman"/>
      <w:sz w:val="18"/>
      <w:szCs w:val="18"/>
    </w:rPr>
  </w:style>
  <w:style w:type="character" w:customStyle="1" w:styleId="Char1">
    <w:name w:val="页脚 Char"/>
    <w:link w:val="a5"/>
    <w:uiPriority w:val="99"/>
    <w:locked/>
    <w:rsid w:val="004259E7"/>
    <w:rPr>
      <w:sz w:val="18"/>
    </w:rPr>
  </w:style>
  <w:style w:type="character" w:customStyle="1" w:styleId="BodyTextChar">
    <w:name w:val="Body Text Char"/>
    <w:basedOn w:val="a0"/>
    <w:uiPriority w:val="99"/>
    <w:semiHidden/>
    <w:rsid w:val="004259E7"/>
    <w:rPr>
      <w:rFonts w:ascii="Times New Roman" w:hAnsi="Times New Roman"/>
      <w:szCs w:val="24"/>
    </w:rPr>
  </w:style>
  <w:style w:type="character" w:customStyle="1" w:styleId="Char">
    <w:name w:val="正文文本 Char"/>
    <w:link w:val="a3"/>
    <w:uiPriority w:val="99"/>
    <w:locked/>
    <w:rsid w:val="004259E7"/>
    <w:rPr>
      <w:rFonts w:ascii="仿宋_GB2312" w:eastAsia="仿宋_GB2312" w:hAnsi="Times New Roman"/>
      <w:sz w:val="24"/>
    </w:rPr>
  </w:style>
  <w:style w:type="paragraph" w:customStyle="1" w:styleId="Default">
    <w:name w:val="Default"/>
    <w:uiPriority w:val="99"/>
    <w:rsid w:val="004259E7"/>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4259E7"/>
    <w:pPr>
      <w:ind w:firstLineChars="200" w:firstLine="420"/>
    </w:pPr>
  </w:style>
  <w:style w:type="character" w:customStyle="1" w:styleId="1Char">
    <w:name w:val="标题 1 Char"/>
    <w:basedOn w:val="a0"/>
    <w:link w:val="1"/>
    <w:uiPriority w:val="9"/>
    <w:qFormat/>
    <w:rsid w:val="004259E7"/>
    <w:rPr>
      <w:rFonts w:ascii="Times New Roman" w:hAnsi="Times New Roman"/>
      <w:b/>
      <w:bCs/>
      <w:kern w:val="44"/>
      <w:sz w:val="44"/>
      <w:szCs w:val="44"/>
    </w:rPr>
  </w:style>
  <w:style w:type="character" w:customStyle="1" w:styleId="2Char">
    <w:name w:val="标题 2 Char"/>
    <w:basedOn w:val="a0"/>
    <w:link w:val="2"/>
    <w:uiPriority w:val="9"/>
    <w:qFormat/>
    <w:rsid w:val="004259E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259E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4259E7"/>
    <w:rPr>
      <w:rFonts w:ascii="Times New Roman" w:hAnsi="Times New Roman"/>
      <w:kern w:val="2"/>
      <w:sz w:val="18"/>
      <w:szCs w:val="18"/>
    </w:rPr>
  </w:style>
  <w:style w:type="character" w:customStyle="1" w:styleId="3Char">
    <w:name w:val="标题 3 Char"/>
    <w:basedOn w:val="a0"/>
    <w:link w:val="3"/>
    <w:uiPriority w:val="9"/>
    <w:qFormat/>
    <w:rsid w:val="004259E7"/>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224612693">
      <w:bodyDiv w:val="1"/>
      <w:marLeft w:val="0"/>
      <w:marRight w:val="0"/>
      <w:marTop w:val="0"/>
      <w:marBottom w:val="0"/>
      <w:divBdr>
        <w:top w:val="none" w:sz="0" w:space="0" w:color="auto"/>
        <w:left w:val="none" w:sz="0" w:space="0" w:color="auto"/>
        <w:bottom w:val="none" w:sz="0" w:space="0" w:color="auto"/>
        <w:right w:val="none" w:sz="0" w:space="0" w:color="auto"/>
      </w:divBdr>
    </w:div>
    <w:div w:id="1257860098">
      <w:bodyDiv w:val="1"/>
      <w:marLeft w:val="0"/>
      <w:marRight w:val="0"/>
      <w:marTop w:val="0"/>
      <w:marBottom w:val="0"/>
      <w:divBdr>
        <w:top w:val="none" w:sz="0" w:space="0" w:color="auto"/>
        <w:left w:val="none" w:sz="0" w:space="0" w:color="auto"/>
        <w:bottom w:val="none" w:sz="0" w:space="0" w:color="auto"/>
        <w:right w:val="none" w:sz="0" w:space="0" w:color="auto"/>
      </w:divBdr>
    </w:div>
    <w:div w:id="2109812390">
      <w:bodyDiv w:val="1"/>
      <w:marLeft w:val="0"/>
      <w:marRight w:val="0"/>
      <w:marTop w:val="0"/>
      <w:marBottom w:val="0"/>
      <w:divBdr>
        <w:top w:val="none" w:sz="0" w:space="0" w:color="auto"/>
        <w:left w:val="none" w:sz="0" w:space="0" w:color="auto"/>
        <w:bottom w:val="none" w:sz="0" w:space="0" w:color="auto"/>
        <w:right w:val="none" w:sz="0" w:space="0" w:color="auto"/>
      </w:divBdr>
    </w:div>
    <w:div w:id="21427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3309352517985587"/>
          <c:y val="8.7912087912087933E-2"/>
          <c:w val="0.48201438848921413"/>
          <c:h val="0.73626373626373764"/>
        </c:manualLayout>
      </c:layout>
      <c:barChart>
        <c:barDir val="col"/>
        <c:grouping val="clustered"/>
        <c:ser>
          <c:idx val="0"/>
          <c:order val="0"/>
          <c:tx>
            <c:strRef>
              <c:f>Sheet1!$A$2</c:f>
              <c:strCache>
                <c:ptCount val="1"/>
                <c:pt idx="0">
                  <c:v>收入</c:v>
                </c:pt>
              </c:strCache>
            </c:strRef>
          </c:tx>
          <c:spPr>
            <a:solidFill>
              <a:srgbClr val="9999FF"/>
            </a:solidFill>
            <a:ln w="13427">
              <a:solidFill>
                <a:srgbClr val="000000"/>
              </a:solidFill>
              <a:prstDash val="solid"/>
            </a:ln>
          </c:spPr>
          <c:cat>
            <c:strRef>
              <c:f>Sheet1!$B$1:$E$1</c:f>
              <c:strCache>
                <c:ptCount val="3"/>
                <c:pt idx="0">
                  <c:v>2018年</c:v>
                </c:pt>
                <c:pt idx="2">
                  <c:v>2019年</c:v>
                </c:pt>
              </c:strCache>
            </c:strRef>
          </c:cat>
          <c:val>
            <c:numRef>
              <c:f>Sheet1!$B$2:$E$2</c:f>
              <c:numCache>
                <c:formatCode>General</c:formatCode>
                <c:ptCount val="4"/>
                <c:pt idx="0">
                  <c:v>647.79000000000303</c:v>
                </c:pt>
                <c:pt idx="2">
                  <c:v>627.33999999999799</c:v>
                </c:pt>
              </c:numCache>
            </c:numRef>
          </c:val>
        </c:ser>
        <c:ser>
          <c:idx val="1"/>
          <c:order val="1"/>
          <c:tx>
            <c:strRef>
              <c:f>Sheet1!$A$3</c:f>
              <c:strCache>
                <c:ptCount val="1"/>
                <c:pt idx="0">
                  <c:v>支出</c:v>
                </c:pt>
              </c:strCache>
            </c:strRef>
          </c:tx>
          <c:spPr>
            <a:solidFill>
              <a:srgbClr val="993366"/>
            </a:solidFill>
            <a:ln w="13427">
              <a:solidFill>
                <a:srgbClr val="000000"/>
              </a:solidFill>
              <a:prstDash val="solid"/>
            </a:ln>
          </c:spPr>
          <c:cat>
            <c:strRef>
              <c:f>Sheet1!$B$1:$E$1</c:f>
              <c:strCache>
                <c:ptCount val="3"/>
                <c:pt idx="0">
                  <c:v>2018年</c:v>
                </c:pt>
                <c:pt idx="2">
                  <c:v>2019年</c:v>
                </c:pt>
              </c:strCache>
            </c:strRef>
          </c:cat>
          <c:val>
            <c:numRef>
              <c:f>Sheet1!$B$3:$E$3</c:f>
              <c:numCache>
                <c:formatCode>General</c:formatCode>
                <c:ptCount val="4"/>
                <c:pt idx="0">
                  <c:v>647.79000000000303</c:v>
                </c:pt>
                <c:pt idx="2">
                  <c:v>627.33999999999799</c:v>
                </c:pt>
              </c:numCache>
            </c:numRef>
          </c:val>
        </c:ser>
        <c:ser>
          <c:idx val="2"/>
          <c:order val="2"/>
          <c:tx>
            <c:strRef>
              <c:f>Sheet1!$A$4</c:f>
              <c:strCache>
                <c:ptCount val="1"/>
              </c:strCache>
            </c:strRef>
          </c:tx>
          <c:spPr>
            <a:solidFill>
              <a:srgbClr val="FFFFCC"/>
            </a:solidFill>
            <a:ln w="13427">
              <a:solidFill>
                <a:srgbClr val="000000"/>
              </a:solidFill>
              <a:prstDash val="solid"/>
            </a:ln>
          </c:spPr>
          <c:cat>
            <c:strRef>
              <c:f>Sheet1!$B$1:$E$1</c:f>
              <c:strCache>
                <c:ptCount val="3"/>
                <c:pt idx="0">
                  <c:v>2018年</c:v>
                </c:pt>
                <c:pt idx="2">
                  <c:v>2019年</c:v>
                </c:pt>
              </c:strCache>
            </c:strRef>
          </c:cat>
          <c:val>
            <c:numRef>
              <c:f>Sheet1!$B$4:$E$4</c:f>
              <c:numCache>
                <c:formatCode>General</c:formatCode>
                <c:ptCount val="4"/>
              </c:numCache>
            </c:numRef>
          </c:val>
        </c:ser>
        <c:axId val="251803904"/>
        <c:axId val="251990016"/>
      </c:barChart>
      <c:catAx>
        <c:axId val="251803904"/>
        <c:scaling>
          <c:orientation val="minMax"/>
        </c:scaling>
        <c:axPos val="b"/>
        <c:numFmt formatCode="General" sourceLinked="1"/>
        <c:majorTickMark val="in"/>
        <c:tickLblPos val="low"/>
        <c:spPr>
          <a:ln w="3357"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51990016"/>
        <c:crosses val="autoZero"/>
        <c:auto val="1"/>
        <c:lblAlgn val="ctr"/>
        <c:lblOffset val="100"/>
        <c:tickLblSkip val="2"/>
      </c:catAx>
      <c:valAx>
        <c:axId val="251990016"/>
        <c:scaling>
          <c:orientation val="minMax"/>
        </c:scaling>
        <c:axPos val="l"/>
        <c:majorGridlines>
          <c:spPr>
            <a:ln w="3357" cap="flat" cmpd="sng" algn="ctr">
              <a:solidFill>
                <a:srgbClr val="000000"/>
              </a:solidFill>
              <a:prstDash val="solid"/>
              <a:round/>
            </a:ln>
          </c:spPr>
        </c:majorGridlines>
        <c:numFmt formatCode="General" sourceLinked="1"/>
        <c:majorTickMark val="in"/>
        <c:tickLblPos val="nextTo"/>
        <c:spPr>
          <a:ln w="3357"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51803904"/>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65467625899281445"/>
          <c:y val="0.24175824175824448"/>
          <c:w val="0.33093525179856131"/>
          <c:h val="0.51648351648351765"/>
        </c:manualLayout>
      </c:layout>
      <c:spPr>
        <a:noFill/>
        <a:ln w="3357">
          <a:solidFill>
            <a:srgbClr val="000000"/>
          </a:solidFill>
          <a:prstDash val="solid"/>
        </a:ln>
      </c:spPr>
      <c:txPr>
        <a:bodyPr rot="0" spcFirstLastPara="0" vertOverflow="ellipsis" vert="horz" wrap="square" anchor="ctr" anchorCtr="1"/>
        <a:lstStyle/>
        <a:p>
          <a:pPr>
            <a:defRPr lang="zh-CN" sz="8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a:lstStyle/>
    <a:p>
      <a:pPr>
        <a:defRPr lang="zh-CN" sz="95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年收入结构图</a:t>
            </a:r>
          </a:p>
        </c:rich>
      </c:tx>
      <c:layout>
        <c:manualLayout>
          <c:xMode val="edge"/>
          <c:yMode val="edge"/>
          <c:x val="0.20991391280200347"/>
          <c:y val="0"/>
        </c:manualLayout>
      </c:layout>
    </c:title>
    <c:plotArea>
      <c:layout/>
      <c:pieChart>
        <c:varyColors val="1"/>
        <c:ser>
          <c:idx val="0"/>
          <c:order val="0"/>
          <c:tx>
            <c:strRef>
              <c:f>Sheet1!$A$2</c:f>
              <c:strCache>
                <c:ptCount val="1"/>
                <c:pt idx="0">
                  <c:v>金额</c:v>
                </c:pt>
              </c:strCache>
            </c:strRef>
          </c:tx>
          <c:dLbls>
            <c:dLbl>
              <c:idx val="0"/>
              <c:tx>
                <c:rich>
                  <a:bodyPr/>
                  <a:lstStyle/>
                  <a:p>
                    <a:r>
                      <a:rPr lang="en-US" altLang="en-US"/>
                      <a:t>99.99</a:t>
                    </a:r>
                    <a:r>
                      <a:rPr lang="en-US" altLang="zh-CN"/>
                      <a:t>%</a:t>
                    </a:r>
                  </a:p>
                  <a:p>
                    <a:r>
                      <a:rPr lang="en-US" altLang="en-US"/>
                      <a:t>627.31</a:t>
                    </a:r>
                    <a:r>
                      <a:rPr lang="zh-CN" altLang="en-US"/>
                      <a:t>万元</a:t>
                    </a:r>
                    <a:endParaRPr lang="en-US" altLang="en-US"/>
                  </a:p>
                </c:rich>
              </c:tx>
              <c:dLblPos val="bestFit"/>
              <c:showVal val="1"/>
              <c:extLst>
                <c:ext xmlns:c15="http://schemas.microsoft.com/office/drawing/2012/chart" uri="{CE6537A1-D6FC-4f65-9D91-7224C49458BB}"/>
              </c:extLst>
            </c:dLbl>
            <c:dLbl>
              <c:idx val="1"/>
              <c:tx>
                <c:rich>
                  <a:bodyPr/>
                  <a:lstStyle/>
                  <a:p>
                    <a:r>
                      <a:rPr lang="en-US" altLang="en-US"/>
                      <a:t>0.01</a:t>
                    </a:r>
                    <a:r>
                      <a:rPr lang="en-US" altLang="zh-CN"/>
                      <a:t>%</a:t>
                    </a:r>
                  </a:p>
                  <a:p>
                    <a:r>
                      <a:rPr lang="en-US" altLang="en-US"/>
                      <a:t>0.03</a:t>
                    </a:r>
                    <a:r>
                      <a:rPr lang="zh-CN" altLang="en-US"/>
                      <a:t>万元</a:t>
                    </a:r>
                    <a:endParaRPr lang="en-US" altLang="en-US"/>
                  </a:p>
                </c:rich>
              </c:tx>
              <c:dLblPos val="bestFit"/>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extLst>
              <c:ext xmlns:c15="http://schemas.microsoft.com/office/drawing/2012/chart" uri="{CE6537A1-D6FC-4f65-9D91-7224C49458BB}">
                <c15:layout/>
                <c15:showLeaderLines val="1"/>
                <c15:leaderLines/>
              </c:ext>
            </c:extLst>
          </c:dLbls>
          <c:cat>
            <c:strRef>
              <c:f>Sheet1!$B$1:$C$1</c:f>
              <c:strCache>
                <c:ptCount val="2"/>
                <c:pt idx="0">
                  <c:v>财政拨款收入</c:v>
                </c:pt>
                <c:pt idx="1">
                  <c:v>其他收入</c:v>
                </c:pt>
              </c:strCache>
            </c:strRef>
          </c:cat>
          <c:val>
            <c:numRef>
              <c:f>Sheet1!$B$2:$C$2</c:f>
              <c:numCache>
                <c:formatCode>General</c:formatCode>
                <c:ptCount val="2"/>
                <c:pt idx="0">
                  <c:v>647.59</c:v>
                </c:pt>
                <c:pt idx="1">
                  <c:v>0.2</c:v>
                </c:pt>
              </c:numCache>
            </c:numRef>
          </c:val>
        </c:ser>
        <c:ser>
          <c:idx val="1"/>
          <c:order val="1"/>
          <c:tx>
            <c:strRef>
              <c:f>Sheet1!$A$3</c:f>
              <c:strCache>
                <c:ptCount val="1"/>
                <c:pt idx="0">
                  <c:v>比例</c:v>
                </c:pt>
              </c:strCache>
            </c:strRef>
          </c:tx>
          <c:cat>
            <c:strRef>
              <c:f>Sheet1!$B$1:$C$1</c:f>
              <c:strCache>
                <c:ptCount val="2"/>
                <c:pt idx="0">
                  <c:v>财政拨款收入</c:v>
                </c:pt>
                <c:pt idx="1">
                  <c:v>其他收入</c:v>
                </c:pt>
              </c:strCache>
            </c:strRef>
          </c:cat>
          <c:val>
            <c:numRef>
              <c:f>Sheet1!$B$3:$C$3</c:f>
              <c:numCache>
                <c:formatCode>0.00%</c:formatCode>
                <c:ptCount val="2"/>
                <c:pt idx="0">
                  <c:v>0.99970000000000003</c:v>
                </c:pt>
                <c:pt idx="1">
                  <c:v>3.0000000000000507E-4</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支出决算结构图</a:t>
            </a:r>
            <a:endParaRPr lang="zh-CN" altLang="en-US"/>
          </a:p>
        </c:rich>
      </c:tx>
      <c:layout>
        <c:manualLayout>
          <c:xMode val="edge"/>
          <c:yMode val="edge"/>
          <c:x val="0.30536111111111108"/>
          <c:y val="1.8518518518518701E-2"/>
        </c:manualLayout>
      </c:layout>
    </c:title>
    <c:plotArea>
      <c:layout/>
      <c:pieChart>
        <c:varyColors val="1"/>
        <c:ser>
          <c:idx val="0"/>
          <c:order val="0"/>
          <c:tx>
            <c:strRef>
              <c:f>Sheet1!$B$4</c:f>
              <c:strCache>
                <c:ptCount val="1"/>
                <c:pt idx="0">
                  <c:v>比例</c:v>
                </c:pt>
              </c:strCache>
            </c:strRef>
          </c:tx>
          <c:explosion val="25"/>
          <c:dLbls>
            <c:dLbl>
              <c:idx val="0"/>
              <c:tx>
                <c:rich>
                  <a:bodyPr/>
                  <a:lstStyle/>
                  <a:p>
                    <a:r>
                      <a:rPr lang="en-US" altLang="zh-CN"/>
                      <a:t>100%</a:t>
                    </a:r>
                  </a:p>
                  <a:p>
                    <a:r>
                      <a:rPr lang="en-US" altLang="zh-CN"/>
                      <a:t>627.34</a:t>
                    </a:r>
                    <a:r>
                      <a:rPr lang="zh-CN" altLang="en-US"/>
                      <a:t>万元</a:t>
                    </a:r>
                    <a:endParaRPr lang="en-US" altLang="zh-CN"/>
                  </a:p>
                </c:rich>
              </c:tx>
              <c:dLblPos val="bestFit"/>
              <c:showPercent val="1"/>
              <c:extLst>
                <c:ext xmlns:c15="http://schemas.microsoft.com/office/drawing/2012/chart" uri="{CE6537A1-D6FC-4f65-9D91-7224C49458BB}"/>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Sheet1!$A$5:$A$8</c:f>
              <c:strCache>
                <c:ptCount val="4"/>
                <c:pt idx="0">
                  <c:v>基本支出</c:v>
                </c:pt>
                <c:pt idx="1">
                  <c:v>项目支出</c:v>
                </c:pt>
                <c:pt idx="2">
                  <c:v>上级上级支出</c:v>
                </c:pt>
                <c:pt idx="3">
                  <c:v>经营支出</c:v>
                </c:pt>
              </c:strCache>
            </c:strRef>
          </c:cat>
          <c:val>
            <c:numRef>
              <c:f>Sheet1!$B$5:$B$8</c:f>
              <c:numCache>
                <c:formatCode>General</c:formatCode>
                <c:ptCount val="4"/>
                <c:pt idx="0">
                  <c:v>100</c:v>
                </c:pt>
                <c:pt idx="1">
                  <c:v>0</c:v>
                </c:pt>
                <c:pt idx="2">
                  <c:v>0</c:v>
                </c:pt>
                <c:pt idx="3">
                  <c:v>0</c:v>
                </c:pt>
              </c:numCache>
            </c:numRef>
          </c:val>
        </c:ser>
        <c:ser>
          <c:idx val="1"/>
          <c:order val="1"/>
          <c:tx>
            <c:strRef>
              <c:f>Sheet1!$C$4</c:f>
              <c:strCache>
                <c:ptCount val="1"/>
                <c:pt idx="0">
                  <c:v>金额</c:v>
                </c:pt>
              </c:strCache>
            </c:strRef>
          </c:tx>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Sheet1!$A$5:$A$8</c:f>
              <c:strCache>
                <c:ptCount val="4"/>
                <c:pt idx="0">
                  <c:v>基本支出</c:v>
                </c:pt>
                <c:pt idx="1">
                  <c:v>项目支出</c:v>
                </c:pt>
                <c:pt idx="2">
                  <c:v>上级上级支出</c:v>
                </c:pt>
                <c:pt idx="3">
                  <c:v>经营支出</c:v>
                </c:pt>
              </c:strCache>
            </c:strRef>
          </c:cat>
          <c:val>
            <c:numRef>
              <c:f>Sheet1!$C$5:$C$8</c:f>
              <c:numCache>
                <c:formatCode>General</c:formatCode>
                <c:ptCount val="4"/>
                <c:pt idx="0">
                  <c:v>647.79000000000303</c:v>
                </c:pt>
                <c:pt idx="1">
                  <c:v>0</c:v>
                </c:pt>
                <c:pt idx="2">
                  <c:v>0</c:v>
                </c:pt>
                <c:pt idx="3">
                  <c:v>0</c:v>
                </c:pt>
              </c:numCache>
            </c:numRef>
          </c:val>
        </c:ser>
        <c:dLbls>
          <c:showPercent val="1"/>
        </c:dLbls>
        <c:firstSliceAng val="15"/>
      </c:pieChart>
      <c:spPr>
        <a:noFill/>
        <a:ln>
          <a:noFill/>
        </a:ln>
        <a:effectLst/>
      </c:spPr>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3309352517985587"/>
          <c:y val="8.7912087912087933E-2"/>
          <c:w val="0.48201438848921413"/>
          <c:h val="0.73626373626373764"/>
        </c:manualLayout>
      </c:layout>
      <c:barChart>
        <c:barDir val="col"/>
        <c:grouping val="clustered"/>
        <c:ser>
          <c:idx val="0"/>
          <c:order val="0"/>
          <c:tx>
            <c:strRef>
              <c:f>Sheet1!$A$2</c:f>
              <c:strCache>
                <c:ptCount val="1"/>
                <c:pt idx="0">
                  <c:v>财政拨款收入</c:v>
                </c:pt>
              </c:strCache>
            </c:strRef>
          </c:tx>
          <c:spPr>
            <a:solidFill>
              <a:srgbClr val="9999FF"/>
            </a:solidFill>
            <a:ln w="13427">
              <a:solidFill>
                <a:srgbClr val="000000"/>
              </a:solidFill>
              <a:prstDash val="solid"/>
            </a:ln>
          </c:spPr>
          <c:cat>
            <c:strRef>
              <c:f>Sheet1!$B$1:$E$1</c:f>
              <c:strCache>
                <c:ptCount val="3"/>
                <c:pt idx="0">
                  <c:v>2018年</c:v>
                </c:pt>
                <c:pt idx="2">
                  <c:v>2019年</c:v>
                </c:pt>
              </c:strCache>
            </c:strRef>
          </c:cat>
          <c:val>
            <c:numRef>
              <c:f>Sheet1!$B$2:$E$2</c:f>
              <c:numCache>
                <c:formatCode>General</c:formatCode>
                <c:ptCount val="4"/>
                <c:pt idx="0">
                  <c:v>647.59</c:v>
                </c:pt>
                <c:pt idx="2">
                  <c:v>627.30999999999847</c:v>
                </c:pt>
              </c:numCache>
            </c:numRef>
          </c:val>
        </c:ser>
        <c:ser>
          <c:idx val="1"/>
          <c:order val="1"/>
          <c:tx>
            <c:strRef>
              <c:f>Sheet1!$A$3</c:f>
              <c:strCache>
                <c:ptCount val="1"/>
                <c:pt idx="0">
                  <c:v>财政拨款支出</c:v>
                </c:pt>
              </c:strCache>
            </c:strRef>
          </c:tx>
          <c:spPr>
            <a:solidFill>
              <a:srgbClr val="993366"/>
            </a:solidFill>
            <a:ln w="13427">
              <a:solidFill>
                <a:srgbClr val="000000"/>
              </a:solidFill>
              <a:prstDash val="solid"/>
            </a:ln>
          </c:spPr>
          <c:dLbls>
            <c:spPr>
              <a:noFill/>
              <a:ln>
                <a:noFill/>
              </a:ln>
              <a:effectLst/>
            </c:spPr>
            <c:txPr>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Sheet1!$B$1:$E$1</c:f>
              <c:strCache>
                <c:ptCount val="3"/>
                <c:pt idx="0">
                  <c:v>2018年</c:v>
                </c:pt>
                <c:pt idx="2">
                  <c:v>2019年</c:v>
                </c:pt>
              </c:strCache>
            </c:strRef>
          </c:cat>
          <c:val>
            <c:numRef>
              <c:f>Sheet1!$B$3:$E$3</c:f>
              <c:numCache>
                <c:formatCode>General</c:formatCode>
                <c:ptCount val="4"/>
                <c:pt idx="0">
                  <c:v>647.59</c:v>
                </c:pt>
                <c:pt idx="2">
                  <c:v>627.30999999999847</c:v>
                </c:pt>
              </c:numCache>
            </c:numRef>
          </c:val>
        </c:ser>
        <c:ser>
          <c:idx val="2"/>
          <c:order val="2"/>
          <c:tx>
            <c:strRef>
              <c:f>Sheet1!$A$4</c:f>
              <c:strCache>
                <c:ptCount val="1"/>
              </c:strCache>
            </c:strRef>
          </c:tx>
          <c:spPr>
            <a:solidFill>
              <a:srgbClr val="FFFFCC"/>
            </a:solidFill>
            <a:ln w="13427">
              <a:solidFill>
                <a:srgbClr val="000000"/>
              </a:solidFill>
              <a:prstDash val="solid"/>
            </a:ln>
          </c:spPr>
          <c:cat>
            <c:strRef>
              <c:f>Sheet1!$B$1:$E$1</c:f>
              <c:strCache>
                <c:ptCount val="3"/>
                <c:pt idx="0">
                  <c:v>2018年</c:v>
                </c:pt>
                <c:pt idx="2">
                  <c:v>2019年</c:v>
                </c:pt>
              </c:strCache>
            </c:strRef>
          </c:cat>
          <c:val>
            <c:numRef>
              <c:f>Sheet1!$B$4:$E$4</c:f>
              <c:numCache>
                <c:formatCode>General</c:formatCode>
                <c:ptCount val="4"/>
              </c:numCache>
            </c:numRef>
          </c:val>
        </c:ser>
        <c:axId val="252179200"/>
        <c:axId val="252180736"/>
      </c:barChart>
      <c:catAx>
        <c:axId val="252179200"/>
        <c:scaling>
          <c:orientation val="minMax"/>
        </c:scaling>
        <c:axPos val="b"/>
        <c:numFmt formatCode="General" sourceLinked="1"/>
        <c:majorTickMark val="in"/>
        <c:tickLblPos val="low"/>
        <c:spPr>
          <a:ln w="3357"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52180736"/>
        <c:crosses val="autoZero"/>
        <c:auto val="1"/>
        <c:lblAlgn val="ctr"/>
        <c:lblOffset val="100"/>
        <c:tickLblSkip val="2"/>
      </c:catAx>
      <c:valAx>
        <c:axId val="252180736"/>
        <c:scaling>
          <c:orientation val="minMax"/>
        </c:scaling>
        <c:axPos val="l"/>
        <c:majorGridlines>
          <c:spPr>
            <a:ln w="3357" cap="flat" cmpd="sng" algn="ctr">
              <a:solidFill>
                <a:srgbClr val="000000"/>
              </a:solidFill>
              <a:prstDash val="solid"/>
              <a:round/>
            </a:ln>
          </c:spPr>
        </c:majorGridlines>
        <c:numFmt formatCode="General" sourceLinked="1"/>
        <c:majorTickMark val="in"/>
        <c:tickLblPos val="nextTo"/>
        <c:spPr>
          <a:ln w="3357"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5217920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65467625899281445"/>
          <c:y val="0.24175824175824448"/>
          <c:w val="0.33093525179856131"/>
          <c:h val="0.51648351648351765"/>
        </c:manualLayout>
      </c:layout>
      <c:spPr>
        <a:noFill/>
        <a:ln w="3357">
          <a:solidFill>
            <a:srgbClr val="000000"/>
          </a:solidFill>
          <a:prstDash val="solid"/>
        </a:ln>
      </c:spPr>
      <c:txPr>
        <a:bodyPr rot="0" spcFirstLastPara="0" vertOverflow="ellipsis" vert="horz" wrap="square" anchor="ctr" anchorCtr="1"/>
        <a:lstStyle/>
        <a:p>
          <a:pPr>
            <a:defRPr lang="zh-CN" sz="8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a:lstStyle/>
    <a:p>
      <a:pPr>
        <a:defRPr lang="zh-CN" sz="95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3309352517985587"/>
          <c:y val="8.7912087912087933E-2"/>
          <c:w val="0.48201438848921413"/>
          <c:h val="0.73626373626373764"/>
        </c:manualLayout>
      </c:layout>
      <c:barChart>
        <c:barDir val="col"/>
        <c:grouping val="clustered"/>
        <c:ser>
          <c:idx val="0"/>
          <c:order val="0"/>
          <c:tx>
            <c:strRef>
              <c:f>Sheet1!$A$2</c:f>
              <c:strCache>
                <c:ptCount val="1"/>
                <c:pt idx="0">
                  <c:v>一般公共预算财政拨款支出</c:v>
                </c:pt>
              </c:strCache>
            </c:strRef>
          </c:tx>
          <c:spPr>
            <a:solidFill>
              <a:srgbClr val="9999FF"/>
            </a:solidFill>
            <a:ln w="13427">
              <a:solidFill>
                <a:srgbClr val="000000"/>
              </a:solidFill>
              <a:prstDash val="solid"/>
            </a:ln>
          </c:spPr>
          <c:cat>
            <c:strRef>
              <c:f>Sheet1!$B$1:$E$1</c:f>
              <c:strCache>
                <c:ptCount val="3"/>
                <c:pt idx="0">
                  <c:v>2018年</c:v>
                </c:pt>
                <c:pt idx="2">
                  <c:v>2019年</c:v>
                </c:pt>
              </c:strCache>
            </c:strRef>
          </c:cat>
          <c:val>
            <c:numRef>
              <c:f>Sheet1!$B$2:$E$2</c:f>
              <c:numCache>
                <c:formatCode>General</c:formatCode>
                <c:ptCount val="4"/>
                <c:pt idx="0">
                  <c:v>647.59</c:v>
                </c:pt>
                <c:pt idx="2">
                  <c:v>627.30999999999847</c:v>
                </c:pt>
              </c:numCache>
            </c:numRef>
          </c:val>
        </c:ser>
        <c:ser>
          <c:idx val="1"/>
          <c:order val="1"/>
          <c:tx>
            <c:strRef>
              <c:f>Sheet1!$A$3</c:f>
              <c:strCache>
                <c:ptCount val="1"/>
              </c:strCache>
            </c:strRef>
          </c:tx>
          <c:spPr>
            <a:solidFill>
              <a:srgbClr val="993366"/>
            </a:solidFill>
            <a:ln w="13427">
              <a:solidFill>
                <a:srgbClr val="000000"/>
              </a:solidFill>
              <a:prstDash val="solid"/>
            </a:ln>
          </c:spPr>
          <c:cat>
            <c:strRef>
              <c:f>Sheet1!$B$1:$E$1</c:f>
              <c:strCache>
                <c:ptCount val="3"/>
                <c:pt idx="0">
                  <c:v>2018年</c:v>
                </c:pt>
                <c:pt idx="2">
                  <c:v>2019年</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3427">
              <a:solidFill>
                <a:srgbClr val="000000"/>
              </a:solidFill>
              <a:prstDash val="solid"/>
            </a:ln>
          </c:spPr>
          <c:cat>
            <c:strRef>
              <c:f>Sheet1!$B$1:$E$1</c:f>
              <c:strCache>
                <c:ptCount val="3"/>
                <c:pt idx="0">
                  <c:v>2018年</c:v>
                </c:pt>
                <c:pt idx="2">
                  <c:v>2019年</c:v>
                </c:pt>
              </c:strCache>
            </c:strRef>
          </c:cat>
          <c:val>
            <c:numRef>
              <c:f>Sheet1!$B$4:$E$4</c:f>
              <c:numCache>
                <c:formatCode>General</c:formatCode>
                <c:ptCount val="4"/>
              </c:numCache>
            </c:numRef>
          </c:val>
        </c:ser>
        <c:axId val="251825152"/>
        <c:axId val="251896576"/>
      </c:barChart>
      <c:catAx>
        <c:axId val="251825152"/>
        <c:scaling>
          <c:orientation val="minMax"/>
        </c:scaling>
        <c:axPos val="b"/>
        <c:numFmt formatCode="General" sourceLinked="1"/>
        <c:majorTickMark val="in"/>
        <c:tickLblPos val="low"/>
        <c:spPr>
          <a:ln w="3357"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51896576"/>
        <c:crosses val="autoZero"/>
        <c:auto val="1"/>
        <c:lblAlgn val="ctr"/>
        <c:lblOffset val="100"/>
        <c:tickLblSkip val="2"/>
      </c:catAx>
      <c:valAx>
        <c:axId val="251896576"/>
        <c:scaling>
          <c:orientation val="minMax"/>
        </c:scaling>
        <c:axPos val="l"/>
        <c:majorGridlines>
          <c:spPr>
            <a:ln w="3357" cap="flat" cmpd="sng" algn="ctr">
              <a:solidFill>
                <a:srgbClr val="000000"/>
              </a:solidFill>
              <a:prstDash val="solid"/>
              <a:round/>
            </a:ln>
          </c:spPr>
        </c:majorGridlines>
        <c:numFmt formatCode="General" sourceLinked="1"/>
        <c:majorTickMark val="in"/>
        <c:tickLblPos val="nextTo"/>
        <c:spPr>
          <a:ln w="3357"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51825152"/>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65467625899281445"/>
          <c:y val="0.24175824175824448"/>
          <c:w val="0.33093525179856131"/>
          <c:h val="0.51648351648351765"/>
        </c:manualLayout>
      </c:layout>
      <c:spPr>
        <a:noFill/>
        <a:ln w="3357">
          <a:solidFill>
            <a:srgbClr val="000000"/>
          </a:solidFill>
          <a:prstDash val="solid"/>
        </a:ln>
      </c:spPr>
      <c:txPr>
        <a:bodyPr rot="0" spcFirstLastPara="0" vertOverflow="ellipsis" vert="horz" wrap="square" anchor="ctr" anchorCtr="1"/>
        <a:lstStyle/>
        <a:p>
          <a:pPr>
            <a:defRPr lang="zh-CN" sz="8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a:lstStyle/>
    <a:p>
      <a:pPr>
        <a:defRPr lang="zh-CN" sz="95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1942446043165506E-2"/>
          <c:y val="0.10989010989011012"/>
          <c:w val="0.50719424460431761"/>
          <c:h val="0.7747252747252874"/>
        </c:manualLayout>
      </c:layout>
      <c:pieChart>
        <c:varyColors val="1"/>
        <c:ser>
          <c:idx val="0"/>
          <c:order val="0"/>
          <c:tx>
            <c:strRef>
              <c:f>Sheet1!$A$2</c:f>
              <c:strCache>
                <c:ptCount val="1"/>
                <c:pt idx="0">
                  <c:v>金额</c:v>
                </c:pt>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dPt>
          <c:dPt>
            <c:idx val="2"/>
            <c:spPr>
              <a:solidFill>
                <a:srgbClr val="FFFFCC"/>
              </a:solidFill>
              <a:ln w="12656">
                <a:solidFill>
                  <a:srgbClr val="000000"/>
                </a:solidFill>
                <a:prstDash val="solid"/>
              </a:ln>
            </c:spPr>
          </c:dPt>
          <c:dLbls>
            <c:spPr>
              <a:noFill/>
              <a:ln>
                <a:noFill/>
              </a:ln>
              <a:effectLst/>
            </c:spPr>
            <c:txPr>
              <a:bodyPr rot="0" spcFirstLastPara="0" vertOverflow="ellipsis" vert="horz" wrap="square" lIns="38100" tIns="19050" rIns="38100" bIns="19050" anchor="ctr" anchorCtr="1"/>
              <a:lstStyle/>
              <a:p>
                <a:pPr>
                  <a:defRPr lang="zh-CN" sz="89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extLst>
              <c:ext xmlns:c15="http://schemas.microsoft.com/office/drawing/2012/chart" uri="{CE6537A1-D6FC-4f65-9D91-7224C49458BB}">
                <c15:layout/>
                <c15:showLeaderLines val="1"/>
                <c15:leaderLines/>
              </c:ext>
            </c:extLst>
          </c:dLbls>
          <c:cat>
            <c:strRef>
              <c:f>Sheet1!$B$1:$D$1</c:f>
              <c:strCache>
                <c:ptCount val="3"/>
                <c:pt idx="0">
                  <c:v>公共安全支出</c:v>
                </c:pt>
                <c:pt idx="1">
                  <c:v>社会保障和就业</c:v>
                </c:pt>
                <c:pt idx="2">
                  <c:v>医疗卫生和计划生育</c:v>
                </c:pt>
              </c:strCache>
            </c:strRef>
          </c:cat>
          <c:val>
            <c:numRef>
              <c:f>Sheet1!$B$2:$D$2</c:f>
              <c:numCache>
                <c:formatCode>General</c:formatCode>
                <c:ptCount val="3"/>
                <c:pt idx="0">
                  <c:v>558.29999999999995</c:v>
                </c:pt>
                <c:pt idx="1">
                  <c:v>44.08</c:v>
                </c:pt>
                <c:pt idx="2">
                  <c:v>24.93</c:v>
                </c:pt>
              </c:numCache>
            </c:numRef>
          </c:val>
        </c:ser>
        <c:ser>
          <c:idx val="1"/>
          <c:order val="1"/>
          <c:tx>
            <c:strRef>
              <c:f>Sheet1!$A$3</c:f>
              <c:strCache>
                <c:ptCount val="1"/>
                <c:pt idx="0">
                  <c:v>占比</c:v>
                </c:pt>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dPt>
          <c:dPt>
            <c:idx val="2"/>
            <c:spPr>
              <a:solidFill>
                <a:srgbClr val="FFFFCC"/>
              </a:solidFill>
              <a:ln w="12656">
                <a:solidFill>
                  <a:srgbClr val="000000"/>
                </a:solidFill>
                <a:prstDash val="solid"/>
              </a:ln>
            </c:spPr>
          </c:dPt>
          <c:cat>
            <c:strRef>
              <c:f>Sheet1!$B$1:$D$1</c:f>
              <c:strCache>
                <c:ptCount val="3"/>
                <c:pt idx="0">
                  <c:v>公共安全支出</c:v>
                </c:pt>
                <c:pt idx="1">
                  <c:v>社会保障和就业</c:v>
                </c:pt>
                <c:pt idx="2">
                  <c:v>医疗卫生和计划生育</c:v>
                </c:pt>
              </c:strCache>
            </c:strRef>
          </c:cat>
          <c:val>
            <c:numRef>
              <c:f>Sheet1!$B$3:$D$3</c:f>
              <c:numCache>
                <c:formatCode>0.00%</c:formatCode>
                <c:ptCount val="3"/>
                <c:pt idx="0" formatCode="0%">
                  <c:v>0.89</c:v>
                </c:pt>
                <c:pt idx="1">
                  <c:v>7.0300000000000112E-2</c:v>
                </c:pt>
                <c:pt idx="2">
                  <c:v>3.9700000000000006E-2</c:v>
                </c:pt>
              </c:numCache>
            </c:numRef>
          </c:val>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dPt>
          <c:dPt>
            <c:idx val="1"/>
            <c:spPr>
              <a:solidFill>
                <a:srgbClr val="993366"/>
              </a:solidFill>
              <a:ln w="12656">
                <a:solidFill>
                  <a:srgbClr val="000000"/>
                </a:solidFill>
                <a:prstDash val="solid"/>
              </a:ln>
            </c:spPr>
          </c:dPt>
          <c:cat>
            <c:strRef>
              <c:f>Sheet1!$B$1:$D$1</c:f>
              <c:strCache>
                <c:ptCount val="3"/>
                <c:pt idx="0">
                  <c:v>公共安全支出</c:v>
                </c:pt>
                <c:pt idx="1">
                  <c:v>社会保障和就业</c:v>
                </c:pt>
                <c:pt idx="2">
                  <c:v>医疗卫生和计划生育</c:v>
                </c:pt>
              </c:strCache>
            </c:strRef>
          </c:cat>
          <c:val>
            <c:numRef>
              <c:f>Sheet1!$B$4:$D$4</c:f>
              <c:numCache>
                <c:formatCode>General</c:formatCode>
                <c:ptCount val="3"/>
              </c:numCache>
            </c:numRef>
          </c:val>
        </c:ser>
        <c:firstSliceAng val="0"/>
      </c:pieChart>
      <c:spPr>
        <a:solidFill>
          <a:srgbClr val="C0C0C0"/>
        </a:solidFill>
        <a:ln w="12656">
          <a:solidFill>
            <a:srgbClr val="808080"/>
          </a:solidFill>
          <a:prstDash val="solid"/>
        </a:ln>
      </c:spPr>
    </c:plotArea>
    <c:legend>
      <c:legendPos val="r"/>
      <c:layout>
        <c:manualLayout>
          <c:xMode val="edge"/>
          <c:yMode val="edge"/>
          <c:x val="0.65467625899281445"/>
          <c:y val="7.1428571428571425E-2"/>
          <c:w val="0.33093525179856131"/>
          <c:h val="0.85714285714285865"/>
        </c:manualLayout>
      </c:layout>
      <c:spPr>
        <a:noFill/>
        <a:ln w="3164">
          <a:solidFill>
            <a:srgbClr val="000000"/>
          </a:solidFill>
          <a:prstDash val="solid"/>
        </a:ln>
      </c:spPr>
      <c:txPr>
        <a:bodyPr rot="0" spcFirstLastPara="0" vertOverflow="ellipsis" vert="horz" wrap="square" anchor="ctr" anchorCtr="1"/>
        <a:lstStyle/>
        <a:p>
          <a:pPr>
            <a:defRPr lang="zh-CN" sz="82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89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1942446043165506E-2"/>
          <c:y val="0.10989010989011012"/>
          <c:w val="0.50719424460431761"/>
          <c:h val="0.7747252747252874"/>
        </c:manualLayout>
      </c:layout>
      <c:pieChart>
        <c:varyColors val="1"/>
        <c:ser>
          <c:idx val="0"/>
          <c:order val="0"/>
          <c:tx>
            <c:strRef>
              <c:f>Sheet1!$A$2</c:f>
              <c:strCache>
                <c:ptCount val="1"/>
              </c:strCache>
            </c:strRef>
          </c:tx>
          <c:spPr>
            <a:solidFill>
              <a:srgbClr val="9999FF"/>
            </a:solidFill>
            <a:ln w="13559">
              <a:solidFill>
                <a:srgbClr val="000000"/>
              </a:solidFill>
              <a:prstDash val="solid"/>
            </a:ln>
          </c:spPr>
          <c:dPt>
            <c:idx val="1"/>
            <c:spPr>
              <a:solidFill>
                <a:srgbClr val="993366"/>
              </a:solidFill>
              <a:ln w="13559">
                <a:solidFill>
                  <a:srgbClr val="000000"/>
                </a:solidFill>
                <a:prstDash val="solid"/>
              </a:ln>
            </c:spPr>
          </c:dPt>
          <c:dPt>
            <c:idx val="2"/>
            <c:spPr>
              <a:solidFill>
                <a:srgbClr val="FFFFCC"/>
              </a:solidFill>
              <a:ln w="13559">
                <a:solidFill>
                  <a:srgbClr val="000000"/>
                </a:solidFill>
                <a:prstDash val="solid"/>
              </a:ln>
            </c:spPr>
          </c:dPt>
          <c:dPt>
            <c:idx val="3"/>
            <c:spPr>
              <a:solidFill>
                <a:srgbClr val="CCFFFF"/>
              </a:solidFill>
              <a:ln w="13559">
                <a:solidFill>
                  <a:srgbClr val="000000"/>
                </a:solidFill>
                <a:prstDash val="solid"/>
              </a:ln>
            </c:spPr>
          </c:dPt>
          <c:dLbls>
            <c:spPr>
              <a:noFill/>
              <a:ln>
                <a:noFill/>
              </a:ln>
              <a:effectLst/>
            </c:spPr>
            <c:txPr>
              <a:bodyPr rot="0" spcFirstLastPara="0" vertOverflow="ellipsis" vert="horz" wrap="square" lIns="38100" tIns="19050" rIns="38100" bIns="19050" anchor="ctr" anchorCtr="1"/>
              <a:lstStyle/>
              <a:p>
                <a:pPr>
                  <a:defRPr lang="zh-CN" sz="96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extLst>
              <c:ext xmlns:c15="http://schemas.microsoft.com/office/drawing/2012/chart" uri="{CE6537A1-D6FC-4f65-9D91-7224C49458BB}">
                <c15:layout/>
                <c15:showLeaderLines val="1"/>
                <c15:leaderLines/>
              </c:ext>
            </c:extLst>
          </c:dLbls>
          <c:cat>
            <c:strRef>
              <c:f>Sheet1!$B$1:$E$1</c:f>
              <c:strCache>
                <c:ptCount val="3"/>
                <c:pt idx="0">
                  <c:v>因公出国（境）</c:v>
                </c:pt>
                <c:pt idx="1">
                  <c:v>公务用车运行维护费</c:v>
                </c:pt>
                <c:pt idx="2">
                  <c:v>接待费</c:v>
                </c:pt>
              </c:strCache>
            </c:strRef>
          </c:cat>
          <c:val>
            <c:numRef>
              <c:f>Sheet1!$B$2:$E$2</c:f>
              <c:numCache>
                <c:formatCode>General</c:formatCode>
                <c:ptCount val="4"/>
                <c:pt idx="0">
                  <c:v>0</c:v>
                </c:pt>
                <c:pt idx="1">
                  <c:v>7.67</c:v>
                </c:pt>
                <c:pt idx="2">
                  <c:v>2.42</c:v>
                </c:pt>
              </c:numCache>
            </c:numRef>
          </c:val>
        </c:ser>
        <c:ser>
          <c:idx val="1"/>
          <c:order val="1"/>
          <c:tx>
            <c:strRef>
              <c:f>Sheet1!$A$3</c:f>
              <c:strCache>
                <c:ptCount val="1"/>
              </c:strCache>
            </c:strRef>
          </c:tx>
          <c:spPr>
            <a:solidFill>
              <a:srgbClr val="993366"/>
            </a:solidFill>
            <a:ln w="13559">
              <a:solidFill>
                <a:srgbClr val="000000"/>
              </a:solidFill>
              <a:prstDash val="solid"/>
            </a:ln>
          </c:spPr>
          <c:dPt>
            <c:idx val="0"/>
            <c:spPr>
              <a:solidFill>
                <a:srgbClr val="9999FF"/>
              </a:solidFill>
              <a:ln w="13559">
                <a:solidFill>
                  <a:srgbClr val="000000"/>
                </a:solidFill>
                <a:prstDash val="solid"/>
              </a:ln>
            </c:spPr>
          </c:dPt>
          <c:dPt>
            <c:idx val="2"/>
            <c:spPr>
              <a:solidFill>
                <a:srgbClr val="FFFFCC"/>
              </a:solidFill>
              <a:ln w="13559">
                <a:solidFill>
                  <a:srgbClr val="000000"/>
                </a:solidFill>
                <a:prstDash val="solid"/>
              </a:ln>
            </c:spPr>
          </c:dPt>
          <c:dPt>
            <c:idx val="3"/>
            <c:spPr>
              <a:solidFill>
                <a:srgbClr val="CCFFFF"/>
              </a:solidFill>
              <a:ln w="13559">
                <a:solidFill>
                  <a:srgbClr val="000000"/>
                </a:solidFill>
                <a:prstDash val="solid"/>
              </a:ln>
            </c:spPr>
          </c:dPt>
          <c:cat>
            <c:strRef>
              <c:f>Sheet1!$B$1:$E$1</c:f>
              <c:strCache>
                <c:ptCount val="3"/>
                <c:pt idx="0">
                  <c:v>因公出国（境）</c:v>
                </c:pt>
                <c:pt idx="1">
                  <c:v>公务用车运行维护费</c:v>
                </c:pt>
                <c:pt idx="2">
                  <c:v>接待费</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3559">
              <a:solidFill>
                <a:srgbClr val="000000"/>
              </a:solidFill>
              <a:prstDash val="solid"/>
            </a:ln>
          </c:spPr>
          <c:dPt>
            <c:idx val="0"/>
            <c:spPr>
              <a:solidFill>
                <a:srgbClr val="9999FF"/>
              </a:solidFill>
              <a:ln w="13559">
                <a:solidFill>
                  <a:srgbClr val="000000"/>
                </a:solidFill>
                <a:prstDash val="solid"/>
              </a:ln>
            </c:spPr>
          </c:dPt>
          <c:dPt>
            <c:idx val="1"/>
            <c:spPr>
              <a:solidFill>
                <a:srgbClr val="993366"/>
              </a:solidFill>
              <a:ln w="13559">
                <a:solidFill>
                  <a:srgbClr val="000000"/>
                </a:solidFill>
                <a:prstDash val="solid"/>
              </a:ln>
            </c:spPr>
          </c:dPt>
          <c:dPt>
            <c:idx val="3"/>
            <c:spPr>
              <a:solidFill>
                <a:srgbClr val="CCFFFF"/>
              </a:solidFill>
              <a:ln w="13559">
                <a:solidFill>
                  <a:srgbClr val="000000"/>
                </a:solidFill>
                <a:prstDash val="solid"/>
              </a:ln>
            </c:spPr>
          </c:dPt>
          <c:cat>
            <c:strRef>
              <c:f>Sheet1!$B$1:$E$1</c:f>
              <c:strCache>
                <c:ptCount val="3"/>
                <c:pt idx="0">
                  <c:v>因公出国（境）</c:v>
                </c:pt>
                <c:pt idx="1">
                  <c:v>公务用车运行维护费</c:v>
                </c:pt>
                <c:pt idx="2">
                  <c:v>接待费</c:v>
                </c:pt>
              </c:strCache>
            </c:strRef>
          </c:cat>
          <c:val>
            <c:numRef>
              <c:f>Sheet1!$B$4:$E$4</c:f>
              <c:numCache>
                <c:formatCode>General</c:formatCode>
                <c:ptCount val="4"/>
              </c:numCache>
            </c:numRef>
          </c:val>
        </c:ser>
        <c:firstSliceAng val="0"/>
      </c:pieChart>
      <c:spPr>
        <a:solidFill>
          <a:srgbClr val="C0C0C0"/>
        </a:solidFill>
        <a:ln w="13559">
          <a:solidFill>
            <a:srgbClr val="808080"/>
          </a:solidFill>
          <a:prstDash val="solid"/>
        </a:ln>
      </c:spPr>
    </c:plotArea>
    <c:legend>
      <c:legendPos val="r"/>
      <c:layout>
        <c:manualLayout>
          <c:xMode val="edge"/>
          <c:yMode val="edge"/>
          <c:x val="0.65467625899281445"/>
          <c:y val="0.15384615384615699"/>
          <c:w val="0.33093525179856131"/>
          <c:h val="0.68681318681318704"/>
        </c:manualLayout>
      </c:layout>
      <c:spPr>
        <a:noFill/>
        <a:ln w="3390">
          <a:solidFill>
            <a:srgbClr val="000000"/>
          </a:solidFill>
          <a:prstDash val="solid"/>
        </a:ln>
      </c:spPr>
      <c:txPr>
        <a:bodyPr rot="0" spcFirstLastPara="0" vertOverflow="ellipsis" vert="horz" wrap="square" anchor="ctr" anchorCtr="1"/>
        <a:lstStyle/>
        <a:p>
          <a:pPr>
            <a:defRPr lang="zh-CN" sz="88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96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5EE963-AE7E-4F3B-BBF1-9AF15C920B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1367</Words>
  <Characters>7792</Characters>
  <Application>Microsoft Office Word</Application>
  <DocSecurity>0</DocSecurity>
  <Lines>64</Lines>
  <Paragraphs>18</Paragraphs>
  <ScaleCrop>false</ScaleCrop>
  <Company>四川省财政厅</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MC SYSTEM</cp:lastModifiedBy>
  <cp:revision>280</cp:revision>
  <cp:lastPrinted>2020-10-09T07:17:00Z</cp:lastPrinted>
  <dcterms:created xsi:type="dcterms:W3CDTF">2019-08-01T01:14:00Z</dcterms:created>
  <dcterms:modified xsi:type="dcterms:W3CDTF">2021-05-31T05:00:00Z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